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keepNext w:val="1"/>
        <w:tabs>
          <w:tab w:val="left" w:pos="720"/>
          <w:tab w:val="left" w:pos="1440"/>
          <w:tab w:val="left" w:pos="2160"/>
          <w:tab w:val="left" w:pos="2880"/>
          <w:tab w:val="left" w:pos="3600"/>
          <w:tab w:val="left" w:pos="4320"/>
          <w:tab w:val="center" w:pos="4680"/>
        </w:tabs>
        <w:spacing w:line="312" w:lineRule="auto"/>
        <w:jc w:val="center"/>
        <w:outlineLvl w:val="1"/>
        <w:rPr>
          <w:rFonts w:ascii="Arial" w:cs="Arial" w:hAnsi="Arial" w:eastAsia="Arial"/>
          <w:b w:val="1"/>
          <w:bCs w:val="1"/>
          <w:sz w:val="26"/>
          <w:szCs w:val="26"/>
          <w:u w:color="000000"/>
        </w:rPr>
      </w:pPr>
      <w:r>
        <w:rPr>
          <w:rFonts w:ascii="Arial" w:hAnsi="Arial"/>
          <w:b w:val="1"/>
          <w:bCs w:val="1"/>
          <w:sz w:val="26"/>
          <w:szCs w:val="26"/>
          <w:u w:color="000000"/>
          <w:rtl w:val="0"/>
          <w:lang w:val="en-US"/>
        </w:rPr>
        <w:t>Course Syllabus - Math 98 - Spring 2020</w:t>
      </w:r>
    </w:p>
    <w:p>
      <w:pPr>
        <w:pStyle w:val="Default"/>
        <w:keepNext w:val="1"/>
        <w:tabs>
          <w:tab w:val="left" w:pos="720"/>
          <w:tab w:val="left" w:pos="1440"/>
          <w:tab w:val="left" w:pos="2160"/>
          <w:tab w:val="left" w:pos="2880"/>
          <w:tab w:val="left" w:pos="3600"/>
          <w:tab w:val="left" w:pos="4320"/>
          <w:tab w:val="center" w:pos="4680"/>
        </w:tabs>
        <w:spacing w:line="312" w:lineRule="auto"/>
        <w:jc w:val="center"/>
        <w:outlineLvl w:val="1"/>
        <w:rPr>
          <w:rFonts w:ascii="Arial" w:cs="Arial" w:hAnsi="Arial" w:eastAsia="Arial"/>
          <w:sz w:val="20"/>
          <w:szCs w:val="20"/>
          <w:u w:color="000000"/>
        </w:rPr>
      </w:pPr>
      <w:r>
        <w:rPr>
          <w:rFonts w:ascii="Arial" w:hAnsi="Arial"/>
          <w:sz w:val="20"/>
          <w:szCs w:val="20"/>
          <w:u w:color="000000"/>
          <w:rtl w:val="0"/>
          <w:lang w:val="en-US"/>
        </w:rPr>
        <w:t xml:space="preserve">Truman College </w:t>
      </w:r>
    </w:p>
    <w:p>
      <w:pPr>
        <w:pStyle w:val="Default"/>
        <w:keepNext w:val="1"/>
        <w:tabs>
          <w:tab w:val="left" w:pos="720"/>
          <w:tab w:val="left" w:pos="1440"/>
          <w:tab w:val="left" w:pos="2160"/>
          <w:tab w:val="left" w:pos="2880"/>
          <w:tab w:val="left" w:pos="3020"/>
          <w:tab w:val="left" w:pos="3600"/>
          <w:tab w:val="left" w:pos="4320"/>
          <w:tab w:val="center" w:pos="4680"/>
          <w:tab w:val="center" w:pos="5040"/>
        </w:tabs>
        <w:spacing w:line="312" w:lineRule="auto"/>
        <w:jc w:val="center"/>
        <w:outlineLvl w:val="1"/>
        <w:rPr>
          <w:rFonts w:ascii="Arial" w:cs="Arial" w:hAnsi="Arial" w:eastAsia="Arial"/>
          <w:sz w:val="20"/>
          <w:szCs w:val="20"/>
          <w:u w:color="000000"/>
        </w:rPr>
      </w:pPr>
      <w:r>
        <w:rPr>
          <w:rFonts w:ascii="Arial" w:hAnsi="Arial"/>
          <w:sz w:val="20"/>
          <w:szCs w:val="20"/>
          <w:u w:color="000000"/>
          <w:rtl w:val="0"/>
          <w:lang w:val="en-US"/>
        </w:rPr>
        <w:t>One of the City Colleges of Chicago</w:t>
      </w:r>
    </w:p>
    <w:p>
      <w:pPr>
        <w:pStyle w:val="Body"/>
        <w:tabs>
          <w:tab w:val="left" w:pos="720"/>
          <w:tab w:val="left" w:pos="1440"/>
          <w:tab w:val="left" w:pos="2160"/>
          <w:tab w:val="left" w:pos="2880"/>
          <w:tab w:val="left" w:pos="3600"/>
          <w:tab w:val="left" w:pos="4320"/>
        </w:tabs>
        <w:spacing w:line="312" w:lineRule="auto"/>
        <w:jc w:val="center"/>
        <w:rPr>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MATHEMATICS DEPARTMENT</w:t>
      </w:r>
    </w:p>
    <w:p>
      <w:pPr>
        <w:pStyle w:val="Default"/>
        <w:keepNext w:val="1"/>
        <w:tabs>
          <w:tab w:val="left" w:pos="720"/>
          <w:tab w:val="left" w:pos="1440"/>
          <w:tab w:val="left" w:pos="2160"/>
          <w:tab w:val="left" w:pos="2880"/>
          <w:tab w:val="left" w:pos="3600"/>
          <w:tab w:val="left" w:pos="4320"/>
          <w:tab w:val="center" w:pos="4680"/>
        </w:tabs>
        <w:spacing w:line="312" w:lineRule="auto"/>
        <w:jc w:val="center"/>
        <w:outlineLvl w:val="1"/>
        <w:rPr>
          <w:rFonts w:ascii="Arial" w:cs="Arial" w:hAnsi="Arial" w:eastAsia="Arial"/>
          <w:sz w:val="20"/>
          <w:szCs w:val="20"/>
          <w:u w:color="000000"/>
        </w:rPr>
      </w:pPr>
    </w:p>
    <w:p>
      <w:pPr>
        <w:pStyle w:val="Default"/>
        <w:keepNext w:val="1"/>
        <w:tabs>
          <w:tab w:val="left" w:pos="720"/>
          <w:tab w:val="left" w:pos="1440"/>
          <w:tab w:val="left" w:pos="2160"/>
          <w:tab w:val="left" w:pos="2880"/>
          <w:tab w:val="left" w:pos="3600"/>
          <w:tab w:val="left" w:pos="4320"/>
          <w:tab w:val="center" w:pos="4680"/>
        </w:tabs>
        <w:spacing w:line="312" w:lineRule="auto"/>
        <w:outlineLvl w:val="1"/>
        <w:rPr>
          <w:rFonts w:ascii="Arial" w:cs="Arial" w:hAnsi="Arial" w:eastAsia="Arial"/>
          <w:sz w:val="20"/>
          <w:szCs w:val="20"/>
          <w:u w:color="000000"/>
        </w:rPr>
      </w:pP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Course Prefix and Number:</w:t>
        <w:tab/>
        <w:t xml:space="preserve">0045-0090 </w: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Course Name and Number:</w:t>
        <w:tab/>
        <w:t>MATH 98</w: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Course Title: </w:t>
        <w:tab/>
        <w:tab/>
        <w:tab/>
        <w:t>Beginning Algebra with Geometry</w:t>
        <w:tab/>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Length of Course: </w:t>
        <w:tab/>
        <w:tab/>
        <w:t>16 weeks</w: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PCS Code:</w:t>
        <w:tab/>
        <w:tab/>
        <w:tab/>
        <w:t>1.4</w:t>
        <w:tab/>
        <w:tab/>
      </w:r>
    </w:p>
    <w:p>
      <w:pPr>
        <w:pStyle w:val="Default"/>
        <w:keepNext w:val="1"/>
        <w:tabs>
          <w:tab w:val="left" w:pos="720"/>
          <w:tab w:val="left" w:pos="1440"/>
          <w:tab w:val="left" w:pos="2160"/>
          <w:tab w:val="left" w:pos="2880"/>
          <w:tab w:val="left" w:pos="3600"/>
          <w:tab w:val="left" w:pos="4320"/>
          <w:tab w:val="center" w:pos="4680"/>
        </w:tabs>
        <w:spacing w:line="312" w:lineRule="auto"/>
        <w:outlineLvl w:val="1"/>
        <w:rPr>
          <w:rFonts w:ascii="Arial" w:cs="Arial" w:hAnsi="Arial" w:eastAsia="Arial"/>
          <w:b w:val="1"/>
          <w:bCs w:val="1"/>
          <w:u w:color="000000"/>
        </w:rPr>
      </w:pPr>
      <w:r>
        <w:rPr>
          <w:rFonts w:ascii="Arial" w:hAnsi="Arial"/>
          <w:sz w:val="20"/>
          <w:szCs w:val="20"/>
          <w:u w:color="000000"/>
          <w:rtl w:val="0"/>
          <w:lang w:val="en-US"/>
        </w:rPr>
        <w:t>IAI Code:</w:t>
        <w:tab/>
        <w:tab/>
        <w:tab/>
        <w:t>None</w:t>
        <w:tab/>
        <w:tab/>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Semester Credit Hours:</w:t>
        <w:tab/>
        <w:tab/>
        <w:t>4.0</w: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Contact Hours (minutes):</w:t>
        <w:tab/>
        <w:t>4.0 (3200 minutes)</w:t>
        <w:tab/>
        <w:tab/>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fr-FR"/>
          <w14:textOutline w14:w="12700" w14:cap="flat">
            <w14:noFill/>
            <w14:miter w14:lim="400000"/>
          </w14:textOutline>
          <w14:textFill>
            <w14:solidFill>
              <w14:srgbClr w14:val="000000"/>
            </w14:solidFill>
          </w14:textFill>
        </w:rPr>
        <w:t>Lecture Hours (minutes):</w:t>
        <w:tab/>
      </w: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4.0 (3200 minutes)</w:t>
        <w:tab/>
        <w:tab/>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fr-FR"/>
          <w14:textOutline w14:w="12700" w14:cap="flat">
            <w14:noFill/>
            <w14:miter w14:lim="400000"/>
          </w14:textOutline>
          <w14:textFill>
            <w14:solidFill>
              <w14:srgbClr w14:val="000000"/>
            </w14:solidFill>
          </w14:textFill>
        </w:rPr>
        <w:t>Lab Hours (minutes):</w:t>
        <w:tab/>
        <w:tab/>
      </w: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0.0 (0 minutes)</w:t>
        <w:tab/>
        <w:tab/>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Method of Delivery </w:t>
      </w:r>
      <w:r>
        <w:rPr>
          <w:rFonts w:ascii="Arial" w:cs="Arial" w:hAnsi="Arial" w:eastAsia="Arial"/>
          <w:caps w:val="0"/>
          <w:smallCaps w:val="0"/>
          <w:strike w:val="0"/>
          <w:dstrike w:val="0"/>
          <w:outline w:val="0"/>
          <w:color w:val="000000"/>
          <w:spacing w:val="0"/>
          <w:kern w:val="0"/>
          <w:position w:val="0"/>
          <w:sz w:val="16"/>
          <w:szCs w:val="16"/>
          <w:u w:val="none" w:color="000000"/>
          <w:vertAlign w:val="baseline"/>
          <w:lang w:val="en-US"/>
          <w14:textOutline w14:w="12700" w14:cap="flat">
            <w14:noFill/>
            <w14:miter w14:lim="400000"/>
          </w14:textOutline>
          <w14:textFill>
            <w14:solidFill>
              <w14:srgbClr w14:val="000000"/>
            </w14:solidFill>
          </w14:textFill>
        </w:rPr>
        <w:tab/>
        <w:tab/>
      </w:r>
      <w:r>
        <w:rPr>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Face to Face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Section:</w:t>
        <w:tab/>
        <w:tab/>
        <w:tab/>
        <w:t>Math 98 Ent</w:t>
      </w:r>
      <w:r>
        <w:rPr>
          <w:b w:val="1"/>
          <w:bCs w:val="1"/>
          <w:outline w:val="0"/>
          <w:color w:val="ff40ff"/>
          <w:sz w:val="20"/>
          <w:szCs w:val="20"/>
          <w:u w:color="000000"/>
          <w:rtl w:val="0"/>
          <w:lang w:val="en-US"/>
          <w14:textFill>
            <w14:solidFill>
              <w14:srgbClr w14:val="FF40FF"/>
            </w14:solidFill>
          </w14:textFill>
        </w:rPr>
        <w:t>erHer</w:t>
      </w:r>
      <w:r>
        <w:rPr>
          <w:sz w:val="20"/>
          <w:szCs w:val="20"/>
          <w:u w:color="000000"/>
          <w:rtl w:val="0"/>
          <w:lang w:val="en-US"/>
        </w:rPr>
        <w:t>eXY</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Class Meetings:</w:t>
        <w:tab/>
        <w:tab/>
        <w:tab/>
        <w:t>Ent</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w:t>
      </w:r>
      <w:r>
        <w:rPr>
          <w:sz w:val="20"/>
          <w:szCs w:val="20"/>
          <w:u w:color="000000"/>
          <w:rtl w:val="0"/>
          <w:lang w:val="en-US"/>
        </w:rPr>
        <w:t>reDay, X:XX AM - Y:YY AM, Room Ent</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w:t>
      </w:r>
      <w:r>
        <w:rPr>
          <w:sz w:val="20"/>
          <w:szCs w:val="20"/>
          <w:u w:color="000000"/>
          <w:rtl w:val="0"/>
          <w:lang w:val="en-US"/>
        </w:rPr>
        <w:t>ere in Building 1</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Instructor:</w:t>
        <w:tab/>
        <w:tab/>
        <w:tab/>
        <w:t>Ente</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rH</w:t>
      </w:r>
      <w:r>
        <w:rPr>
          <w:sz w:val="20"/>
          <w:szCs w:val="20"/>
          <w:u w:color="000000"/>
          <w:rtl w:val="0"/>
          <w:lang w:val="en-US"/>
        </w:rPr>
        <w:t>ere, email: EnterHere1@ccc.edu, ph. (773) 907-Ent</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w:t>
      </w:r>
      <w:r>
        <w:rPr>
          <w:sz w:val="20"/>
          <w:szCs w:val="20"/>
          <w:u w:color="000000"/>
          <w:rtl w:val="0"/>
          <w:lang w:val="en-US"/>
        </w:rPr>
        <w:t>ere</w:t>
      </w:r>
      <w:r>
        <w:rPr>
          <w:sz w:val="20"/>
          <w:szCs w:val="20"/>
          <w:u w:color="000000"/>
          <w:rtl w:val="0"/>
        </w:rPr>
        <w:br w:type="textWrapping"/>
        <w:t xml:space="preserve"> </w:t>
        <w:tab/>
        <w:tab/>
        <w:tab/>
        <w:tab/>
      </w:r>
      <w:r>
        <w:rPr>
          <w:sz w:val="20"/>
          <w:szCs w:val="20"/>
          <w:u w:color="000000"/>
          <w:rtl w:val="0"/>
          <w:lang w:val="en-US"/>
        </w:rPr>
        <w:t>office Ent</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w:t>
      </w:r>
      <w:r>
        <w:rPr>
          <w:sz w:val="20"/>
          <w:szCs w:val="20"/>
          <w:u w:color="000000"/>
          <w:rtl w:val="0"/>
          <w:lang w:val="en-US"/>
        </w:rPr>
        <w:t>ere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Office Hours:</w:t>
        <w:tab/>
        <w:tab/>
        <w:tab/>
        <w:t>Ent</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w:t>
      </w:r>
      <w:r>
        <w:rPr>
          <w:sz w:val="20"/>
          <w:szCs w:val="20"/>
          <w:u w:color="000000"/>
          <w:rtl w:val="0"/>
          <w:lang w:val="en-US"/>
        </w:rPr>
        <w:t>ere Days,En</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terH</w:t>
      </w:r>
      <w:r>
        <w:rPr>
          <w:sz w:val="20"/>
          <w:szCs w:val="20"/>
          <w:u w:color="000000"/>
          <w:rtl w:val="0"/>
          <w:lang w:val="en-US"/>
        </w:rPr>
        <w:t>ere Times, Room En</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terH</w:t>
      </w:r>
      <w:r>
        <w:rPr>
          <w:sz w:val="20"/>
          <w:szCs w:val="20"/>
          <w:u w:color="000000"/>
          <w:rtl w:val="0"/>
          <w:lang w:val="en-US"/>
        </w:rPr>
        <w:t>ere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rPr>
        <w:tab/>
        <w:tab/>
        <w:tab/>
        <w:tab/>
        <w:t>En</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terHe</w:t>
      </w:r>
      <w:r>
        <w:rPr>
          <w:sz w:val="20"/>
          <w:szCs w:val="20"/>
          <w:u w:color="000000"/>
          <w:rtl w:val="0"/>
          <w:lang w:val="en-US"/>
        </w:rPr>
        <w:t>re Days,Ente</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rH</w:t>
      </w:r>
      <w:r>
        <w:rPr>
          <w:sz w:val="20"/>
          <w:szCs w:val="20"/>
          <w:u w:color="000000"/>
          <w:rtl w:val="0"/>
          <w:lang w:val="en-US"/>
        </w:rPr>
        <w:t>ere Times, Room Ent</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w:t>
      </w:r>
      <w:r>
        <w:rPr>
          <w:sz w:val="20"/>
          <w:szCs w:val="20"/>
          <w:u w:color="000000"/>
          <w:rtl w:val="0"/>
          <w:lang w:val="en-US"/>
        </w:rPr>
        <w:t>ere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Method of Delivery</w:t>
        <w:tab/>
        <w:tab/>
        <w:t>Face to Face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Method of Instruction:</w:t>
        <w:tab/>
        <w:tab/>
        <w:t>Ent</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erHereB</w:t>
      </w:r>
      <w:r>
        <w:rPr>
          <w:sz w:val="20"/>
          <w:szCs w:val="20"/>
          <w:u w:color="000000"/>
          <w:rtl w:val="0"/>
          <w:lang w:val="en-US"/>
        </w:rPr>
        <w:t xml:space="preserve">egin Problem-based activities, collaborative-learning </w:t>
      </w:r>
      <w:r>
        <w:rPr>
          <w:sz w:val="20"/>
          <w:szCs w:val="20"/>
          <w:u w:color="000000"/>
          <w:rtl w:val="0"/>
        </w:rPr>
        <w:br w:type="textWrapping"/>
        <w:t xml:space="preserve"> </w:t>
        <w:tab/>
        <w:tab/>
        <w:tab/>
        <w:tab/>
      </w:r>
      <w:r>
        <w:rPr>
          <w:sz w:val="20"/>
          <w:szCs w:val="20"/>
          <w:u w:color="000000"/>
          <w:rtl w:val="0"/>
          <w:lang w:val="en-US"/>
        </w:rPr>
        <w:t>techniques, and lecture will be used as appropriate.  Ent</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erHereE</w:t>
      </w:r>
      <w:r>
        <w:rPr>
          <w:sz w:val="20"/>
          <w:szCs w:val="20"/>
          <w:u w:color="000000"/>
          <w:rtl w:val="0"/>
          <w:lang w:val="en-US"/>
        </w:rPr>
        <w:t>nd</w:t>
      </w:r>
      <w:r>
        <w:rPr>
          <w:sz w:val="20"/>
          <w:szCs w:val="20"/>
          <w:u w:color="000000"/>
        </w:rPr>
        <w:br w:type="textWrapping"/>
      </w:r>
      <w:r>
        <w:rPr>
          <w:sz w:val="20"/>
          <w:szCs w:val="20"/>
          <w:u w:color="000000"/>
          <w:rtl w:val="0"/>
          <w:lang w:val="en-US"/>
        </w:rPr>
        <w:t>Method of Evaluation:</w:t>
        <w:tab/>
        <w:tab/>
        <w:t>En</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terHereB</w:t>
      </w:r>
      <w:r>
        <w:rPr>
          <w:sz w:val="20"/>
          <w:szCs w:val="20"/>
          <w:u w:color="000000"/>
          <w:rtl w:val="0"/>
          <w:lang w:val="en-US"/>
        </w:rPr>
        <w:t xml:space="preserve">egin Exams, quizzes, homework, projects, in-class </w:t>
      </w:r>
      <w:r>
        <w:rPr>
          <w:sz w:val="20"/>
          <w:szCs w:val="20"/>
          <w:u w:color="000000"/>
          <w:rtl w:val="0"/>
        </w:rPr>
        <w:br w:type="textWrapping"/>
        <w:t xml:space="preserve"> </w:t>
        <w:tab/>
        <w:tab/>
        <w:tab/>
        <w:tab/>
      </w:r>
      <w:r>
        <w:rPr>
          <w:sz w:val="20"/>
          <w:szCs w:val="20"/>
          <w:u w:color="000000"/>
          <w:rtl w:val="0"/>
          <w:lang w:val="en-US"/>
        </w:rPr>
        <w:t>participation En</w:t>
      </w:r>
      <w:r>
        <w:rPr>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terHereE</w:t>
      </w:r>
      <w:r>
        <w:rPr>
          <w:sz w:val="20"/>
          <w:szCs w:val="20"/>
          <w:u w:color="000000"/>
          <w:rtl w:val="0"/>
          <w:lang w:val="en-US"/>
        </w:rPr>
        <w:t>nd</w:t>
      </w:r>
    </w:p>
    <w:p>
      <w:pPr>
        <w:pStyle w:val="Body"/>
        <w:tabs>
          <w:tab w:val="left" w:pos="720"/>
          <w:tab w:val="left" w:pos="1440"/>
          <w:tab w:val="left" w:pos="2160"/>
          <w:tab w:val="left" w:pos="2880"/>
          <w:tab w:val="left" w:pos="3600"/>
          <w:tab w:val="left" w:pos="4320"/>
        </w:tabs>
        <w:spacing w:line="312" w:lineRule="auto"/>
        <w:jc w:val="center"/>
        <w:rPr>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mc:AlternateContent>
          <mc:Choice Requires="wps">
            <w:drawing>
              <wp:inline distT="0" distB="0" distL="0" distR="0">
                <wp:extent cx="5943600" cy="19050"/>
                <wp:effectExtent l="0" t="0" r="0" b="0"/>
                <wp:docPr id="1073741825" name="officeArt object" descr="officeArt object"/>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468.0pt;height:1.5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pPr>
        <w:pStyle w:val="Body"/>
        <w:tabs>
          <w:tab w:val="left" w:pos="720"/>
          <w:tab w:val="left" w:pos="1440"/>
          <w:tab w:val="left" w:pos="2160"/>
          <w:tab w:val="left" w:pos="2880"/>
          <w:tab w:val="left" w:pos="3600"/>
          <w:tab w:val="left" w:pos="4320"/>
        </w:tabs>
        <w:spacing w:line="312" w:lineRule="auto"/>
        <w:rPr>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pPr>
    </w:p>
    <w:p>
      <w:pPr>
        <w:pStyle w:val="Body A"/>
        <w:tabs>
          <w:tab w:val="left" w:pos="720"/>
          <w:tab w:val="left" w:pos="1440"/>
          <w:tab w:val="left" w:pos="2160"/>
          <w:tab w:val="left" w:pos="2880"/>
          <w:tab w:val="left" w:pos="3600"/>
          <w:tab w:val="left" w:pos="4320"/>
        </w:tabs>
        <w:spacing w:line="312" w:lineRule="auto"/>
        <w:rPr>
          <w:b w:val="1"/>
          <w:bCs w:val="1"/>
          <w:sz w:val="20"/>
          <w:szCs w:val="20"/>
          <w:u w:color="000000"/>
        </w:rPr>
      </w:pPr>
      <w:r>
        <w:rPr>
          <w:b w:val="1"/>
          <w:bCs w:val="1"/>
          <w:sz w:val="20"/>
          <w:szCs w:val="20"/>
          <w:u w:color="000000"/>
          <w:rtl w:val="0"/>
          <w:lang w:val="en-US"/>
        </w:rPr>
        <w:t>Textbook</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i w:val="1"/>
          <w:iCs w:val="1"/>
          <w:sz w:val="20"/>
          <w:szCs w:val="20"/>
          <w:u w:color="000000"/>
          <w:rtl w:val="0"/>
          <w:lang w:val="en-US"/>
        </w:rPr>
        <w:t>Beginning Algebr</w:t>
      </w:r>
      <w:r>
        <w:rPr>
          <w:sz w:val="20"/>
          <w:szCs w:val="20"/>
          <w:u w:color="000000"/>
          <w:rtl w:val="0"/>
          <w:lang w:val="en-US"/>
        </w:rPr>
        <w:t>a, Marta Hidegkuti, Truman College</w:t>
      </w:r>
    </w:p>
    <w:p>
      <w:pPr>
        <w:pStyle w:val="Body A"/>
        <w:tabs>
          <w:tab w:val="left" w:pos="720"/>
          <w:tab w:val="left" w:pos="1440"/>
          <w:tab w:val="left" w:pos="2160"/>
          <w:tab w:val="left" w:pos="2880"/>
          <w:tab w:val="left" w:pos="3600"/>
          <w:tab w:val="left" w:pos="4320"/>
        </w:tabs>
        <w:spacing w:line="312" w:lineRule="auto"/>
        <w:rPr>
          <w:sz w:val="20"/>
          <w:szCs w:val="20"/>
          <w:u w:color="000000"/>
        </w:rPr>
      </w:pPr>
      <w:r>
        <w:rPr>
          <w:sz w:val="20"/>
          <w:szCs w:val="20"/>
          <w:u w:color="000000"/>
          <w:rtl w:val="0"/>
          <w:lang w:val="en-US"/>
        </w:rPr>
        <w:t xml:space="preserve">This is an OER (open educational resource) book available for free download as </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sz w:val="20"/>
          <w:szCs w:val="20"/>
          <w:u w:color="000000"/>
          <w:rtl w:val="0"/>
          <w:lang w:val="en-US"/>
        </w:rPr>
        <w:t xml:space="preserve">Part 1: </w:t>
      </w:r>
      <w:r>
        <w:rPr>
          <w:rStyle w:val="Hyperlink.0"/>
        </w:rPr>
        <w:fldChar w:fldCharType="begin" w:fldLock="0"/>
      </w:r>
      <w:r>
        <w:rPr>
          <w:rStyle w:val="Hyperlink.0"/>
        </w:rPr>
        <w:instrText xml:space="preserve"> HYPERLINK "http://www.teaching.martahidegkuti.com/department/coordination/sp20/98weeks1to8.pdf"</w:instrText>
      </w:r>
      <w:r>
        <w:rPr>
          <w:rStyle w:val="Hyperlink.0"/>
        </w:rPr>
        <w:fldChar w:fldCharType="separate" w:fldLock="0"/>
      </w:r>
      <w:r>
        <w:rPr>
          <w:rStyle w:val="Hyperlink.0"/>
          <w:rtl w:val="0"/>
          <w:lang w:val="en-US"/>
        </w:rPr>
        <w:t>http://www.teaching.martahidegkuti.com/department/coordination/sp20/98weeks1to8.pdf</w:t>
      </w:r>
      <w:r>
        <w:rPr/>
        <w:fldChar w:fldCharType="end" w:fldLock="0"/>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Part 2: http://www.teaching.martahidegkuti.com/department/coordination/sp20/98weeks9to16.pdf</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The textbook is bundled with MyOpenMath, an OER online platform.  Ente</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rHereB</w:t>
      </w:r>
      <w:r>
        <w:rPr>
          <w:rStyle w:val="None"/>
          <w:sz w:val="20"/>
          <w:szCs w:val="20"/>
          <w:u w:color="000000"/>
          <w:rtl w:val="0"/>
          <w:lang w:val="en-US"/>
        </w:rPr>
        <w:t xml:space="preserve">eginThe use of MyOpenMath is mandatory but is also free.  Login is at </w:t>
      </w:r>
      <w:r>
        <w:rPr>
          <w:rStyle w:val="Hyperlink.1"/>
        </w:rPr>
        <w:fldChar w:fldCharType="begin" w:fldLock="0"/>
      </w:r>
      <w:r>
        <w:rPr>
          <w:rStyle w:val="Hyperlink.1"/>
        </w:rPr>
        <w:instrText xml:space="preserve"> HYPERLINK "https://www.myopenmath.com/index.php"</w:instrText>
      </w:r>
      <w:r>
        <w:rPr>
          <w:rStyle w:val="Hyperlink.1"/>
        </w:rPr>
        <w:fldChar w:fldCharType="separate" w:fldLock="0"/>
      </w:r>
      <w:r>
        <w:rPr>
          <w:rStyle w:val="Hyperlink.1"/>
          <w:rtl w:val="0"/>
          <w:lang w:val="en-US"/>
        </w:rPr>
        <w:t>https://www.myopenmath.com</w:t>
      </w:r>
      <w:r>
        <w:rPr/>
        <w:fldChar w:fldCharType="end" w:fldLock="0"/>
      </w:r>
      <w:r>
        <w:rPr>
          <w:rStyle w:val="None"/>
          <w:sz w:val="20"/>
          <w:szCs w:val="20"/>
          <w:u w:color="000000"/>
          <w:rtl w:val="0"/>
          <w:lang w:val="en-US"/>
        </w:rPr>
        <w:t>.  Student can enroll into the online class using course number En</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terH</w:t>
      </w:r>
      <w:r>
        <w:rPr>
          <w:rStyle w:val="None"/>
          <w:sz w:val="20"/>
          <w:szCs w:val="20"/>
          <w:u w:color="000000"/>
          <w:rtl w:val="0"/>
          <w:lang w:val="en-US"/>
        </w:rPr>
        <w:t>ere and use enrollment key En</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terH</w:t>
      </w:r>
      <w:r>
        <w:rPr>
          <w:rStyle w:val="None"/>
          <w:sz w:val="20"/>
          <w:szCs w:val="20"/>
          <w:u w:color="000000"/>
          <w:rtl w:val="0"/>
          <w:lang w:val="en-US"/>
        </w:rPr>
        <w:t>ere. 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 xml:space="preserve">Calculator Policy </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erHereBe</w:t>
      </w:r>
      <w:r>
        <w:rPr>
          <w:rStyle w:val="None"/>
          <w:sz w:val="20"/>
          <w:szCs w:val="20"/>
          <w:u w:color="000000"/>
          <w:rtl w:val="0"/>
          <w:lang w:val="en-US"/>
        </w:rPr>
        <w:t>gin The use of a scientific calculator is mandatory or recommended or not allowed etc  Students are expected to bring the calculator to class. The optimal calculator is TI-30X II S. The price of this model is between $15 and $25. Do NOT purchase a different calculator if it is significantly more expensive. Any calculator different from TI-30X II S has to be approved by the instructor first. Students are not allowed to be used during quizzes and exams. During quizzes and exams, students are not allowed to use a graphing calculator. Students are not allowed to use a cell phone as a calculator any time during class.  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b w:val="1"/>
          <w:bCs w:val="1"/>
          <w:sz w:val="20"/>
          <w:szCs w:val="20"/>
          <w:u w:color="000000"/>
          <w:rtl w:val="0"/>
          <w:lang w:val="en-US"/>
        </w:rPr>
        <w:t>Additional Resources and Material</w:t>
      </w:r>
      <w:r>
        <w:rPr>
          <w:rStyle w:val="None"/>
          <w:sz w:val="20"/>
          <w:szCs w:val="20"/>
          <w:u w:color="000000"/>
        </w:rPr>
        <w:br w:type="textWrapping"/>
      </w:r>
      <w:r>
        <w:rPr>
          <w:rStyle w:val="None"/>
          <w:sz w:val="20"/>
          <w:szCs w:val="20"/>
          <w:u w:color="000000"/>
          <w:rtl w:val="0"/>
          <w:lang w:val="en-US"/>
        </w:rPr>
        <w:t>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erHereB</w:t>
      </w:r>
      <w:r>
        <w:rPr>
          <w:rStyle w:val="None"/>
          <w:sz w:val="20"/>
          <w:szCs w:val="20"/>
          <w:u w:color="000000"/>
          <w:rtl w:val="0"/>
          <w:lang w:val="en-US"/>
        </w:rPr>
        <w:t>egin for example: During classes, students need to have a notebook or plenty of paper, pen or pencil (pencil recommended). The use of a scientific calculator is recommended but not mandatory. Students do not need to bring the textbook to class. 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Methods of Evaluation</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erHereB</w:t>
      </w:r>
      <w:r>
        <w:rPr>
          <w:rStyle w:val="None"/>
          <w:sz w:val="20"/>
          <w:szCs w:val="20"/>
          <w:u w:color="000000"/>
          <w:rtl w:val="0"/>
          <w:lang w:val="en-US"/>
        </w:rPr>
        <w:t>egin Exams, quizzes, homework and other assessments will be used as appropriate to measure student learning.  En</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Grade distribution</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 xml:space="preserve">90% to 100% = A       </w:t>
        <w:tab/>
        <w:t>70% to 79% = C</w:t>
        <w:tab/>
        <w:t>Below 60% = F</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80% to 89% = B</w:t>
        <w:tab/>
        <w:tab/>
        <w:t>60% to 69% = 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erHereB</w:t>
      </w:r>
      <w:r>
        <w:rPr>
          <w:rStyle w:val="None"/>
          <w:sz w:val="20"/>
          <w:szCs w:val="20"/>
          <w:u w:color="000000"/>
          <w:rtl w:val="0"/>
          <w:lang w:val="en-US"/>
        </w:rPr>
        <w:t>egin The weight given to exams, quizzes, and other instruments used for evaluation will be as follows.</w:t>
        <w:tab/>
        <w:tab/>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 xml:space="preserve">Exam 1: 20%  </w:t>
        <w:tab/>
        <w:tab/>
        <w:t>Final Exam 30%</w:t>
        <w:tab/>
        <w:t>Homework: 10%</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Exam 2: 25%</w:t>
        <w:tab/>
        <w:tab/>
        <w:t>Quizzes: 15%   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erHereE</w:t>
      </w:r>
      <w:r>
        <w:rPr>
          <w:rStyle w:val="None"/>
          <w:sz w:val="20"/>
          <w:szCs w:val="20"/>
          <w:u w:color="000000"/>
          <w:rtl w:val="0"/>
          <w:lang w:val="en-US"/>
        </w:rPr>
        <w:t>nd</w:t>
        <w:tab/>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jc w:val="both"/>
        <w:rPr>
          <w:rStyle w:val="None"/>
          <w:sz w:val="20"/>
          <w:szCs w:val="20"/>
          <w:u w:color="000000"/>
        </w:rPr>
      </w:pPr>
      <w:r>
        <w:rPr>
          <w:rStyle w:val="None"/>
          <w:b w:val="1"/>
          <w:bCs w:val="1"/>
          <w:sz w:val="20"/>
          <w:szCs w:val="20"/>
          <w:u w:color="000000"/>
          <w:rtl w:val="0"/>
          <w:lang w:val="en-US"/>
        </w:rPr>
        <w:t>Attendance</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Ente</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rHereB</w:t>
      </w:r>
      <w:r>
        <w:rPr>
          <w:rStyle w:val="None"/>
          <w:sz w:val="20"/>
          <w:szCs w:val="20"/>
          <w:u w:color="000000"/>
          <w:rtl w:val="0"/>
          <w:lang w:val="en-US"/>
        </w:rPr>
        <w:t>egin    Attendance is an essential part of the course. Regular attendance is expected of all students in the course. Attendance will be taken each class period. Students are expected to be on time and to attend the entire session. Please make every effort to arrive on time. If a student is</w:t>
      </w:r>
      <w:r>
        <w:rPr>
          <w:rStyle w:val="None"/>
          <w:sz w:val="20"/>
          <w:szCs w:val="20"/>
          <w:u w:color="000000"/>
          <w:rtl w:val="0"/>
          <w:lang w:val="fr-FR"/>
        </w:rPr>
        <w:t xml:space="preserve"> absent, </w:t>
      </w:r>
      <w:r>
        <w:rPr>
          <w:rStyle w:val="None"/>
          <w:sz w:val="20"/>
          <w:szCs w:val="20"/>
          <w:u w:color="000000"/>
          <w:rtl w:val="0"/>
          <w:lang w:val="en-US"/>
        </w:rPr>
        <w:t>they are responsible for all work and assignments covered in class that day.   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No-Show Withdrawal (NSW)</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 xml:space="preserve">Students who do not attend the first two class sessions will be withdrawn from the class by the instructor and issued an NSW. </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Administrative Withdrawal (ADW)</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Students will be administratively withdrawn at midterm (March 7) if at least two of the following apply:</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1.  Less than 70% of quizzes and tests up to the midterm (March 7) have been attempted.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2.  Less than 70% of assignments up to the midterm (March 7) have been attempted.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rPr>
        <w:tab/>
        <w:t>3.  Less than 70% of class sessions up to the midterm (March 7) have been attended.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Time Commitment</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erHereB</w:t>
      </w:r>
      <w:r>
        <w:rPr>
          <w:rStyle w:val="None"/>
          <w:sz w:val="20"/>
          <w:szCs w:val="20"/>
          <w:u w:color="000000"/>
          <w:rtl w:val="0"/>
          <w:lang w:val="en-US"/>
        </w:rPr>
        <w:t>egin Attendance is not mandatory, but students should not expect to pass the class without attending.  Enrolling into a 4 credit-hour class automatically means that you agree to study 8 hours per week outside of classroom.   Some students might need more than that.  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b w:val="1"/>
          <w:bCs w:val="1"/>
          <w:sz w:val="20"/>
          <w:szCs w:val="20"/>
          <w:u w:color="000000"/>
          <w:rtl w:val="0"/>
          <w:lang w:val="en-US"/>
        </w:rPr>
        <w:t>Make up Policy</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erHereB</w:t>
      </w:r>
      <w:r>
        <w:rPr>
          <w:rStyle w:val="None"/>
          <w:sz w:val="20"/>
          <w:szCs w:val="20"/>
          <w:u w:color="000000"/>
          <w:rtl w:val="0"/>
          <w:lang w:val="en-US"/>
        </w:rPr>
        <w:t>egin Without exception, there will be no making up quizzes.  Permission to make-up an exam is subject to the discretion of the instructor, and will be granted only in cases of emergency.  If an absence is anticipated, the student should notify the instructor prior to the absence.  Students need to present written documentation to make-up an exam.  Without exception, students can only make up one exam in the course. E</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nterHereE</w:t>
      </w:r>
      <w:r>
        <w:rPr>
          <w:rStyle w:val="None"/>
          <w:sz w:val="20"/>
          <w:szCs w:val="20"/>
          <w:u w:color="000000"/>
          <w:rtl w:val="0"/>
          <w:lang w:val="en-US"/>
        </w:rPr>
        <w:t xml:space="preserve">nd   </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Academic Integrity</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terHereBe</w:t>
      </w:r>
      <w:r>
        <w:rPr>
          <w:rStyle w:val="None"/>
          <w:sz w:val="20"/>
          <w:szCs w:val="20"/>
          <w:u w:color="000000"/>
          <w:rtl w:val="0"/>
          <w:lang w:val="en-US"/>
        </w:rPr>
        <w:t>gin The City Colleges of Chicago has no tolerance for violations of academic integrity.,  Plagiarism and cheating of any kind are serious violations of these standards and will result, minimally, in a grade of F.  All course work will be checked for academic integrity.  In this course, the first violation will result in an F for the assignment; the second violation will result in course failure.  Make-ups and revisions are not available after an infraction of academic integrity.  For further information, please refer to the Academic and Student Policy.</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Students must work on their own to solve homework problems.  To complete any assignment in the course with the help of software or website that solves mathematics problems constitutes cheating. E</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nterHereE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A"/>
        <w:tabs>
          <w:tab w:val="left" w:pos="720"/>
          <w:tab w:val="left" w:pos="1440"/>
          <w:tab w:val="left" w:pos="2160"/>
          <w:tab w:val="left" w:pos="2880"/>
          <w:tab w:val="left" w:pos="3600"/>
          <w:tab w:val="left" w:pos="4320"/>
        </w:tabs>
        <w:spacing w:line="312" w:lineRule="auto"/>
        <w:rPr>
          <w:rStyle w:val="None"/>
          <w:b w:val="1"/>
          <w:bCs w:val="1"/>
          <w:sz w:val="20"/>
          <w:szCs w:val="20"/>
          <w:u w:color="000000"/>
        </w:rPr>
      </w:pPr>
      <w:r>
        <w:rPr>
          <w:rStyle w:val="None"/>
          <w:b w:val="1"/>
          <w:bCs w:val="1"/>
          <w:sz w:val="20"/>
          <w:szCs w:val="20"/>
          <w:u w:color="000000"/>
          <w:rtl w:val="0"/>
          <w:lang w:val="en-US"/>
        </w:rPr>
        <w:t>Contacting the Instructor</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r>
        <w:rPr>
          <w:rStyle w:val="None"/>
          <w:sz w:val="20"/>
          <w:szCs w:val="20"/>
          <w:u w:color="000000"/>
          <w:rtl w:val="0"/>
          <w:lang w:val="en-US"/>
        </w:rPr>
        <w:t>En</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terHereBe</w:t>
      </w:r>
      <w:r>
        <w:rPr>
          <w:rStyle w:val="None"/>
          <w:sz w:val="20"/>
          <w:szCs w:val="20"/>
          <w:u w:color="000000"/>
          <w:rtl w:val="0"/>
          <w:lang w:val="en-US"/>
        </w:rPr>
        <w:t>gin At all times, email is the fastest and most efficient method to contact the instructor. If you wish to contact the instructor about grades or attendance or other administrative issues via email, please use your CCC student account. FERPA (Family Educational Rights and Privacy Act) is a federal law that protects the privacy of student educational records: www.ed.gov/policy/gen/guid/fpco/ferpa/index.html. Faculty cannot reveal information about students, or discuss student records over the phone or un-secure e-mail. CCC student e-mail meets FERPA requirements. Ente</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rHereE</w:t>
      </w:r>
      <w:r>
        <w:rPr>
          <w:rStyle w:val="None"/>
          <w:sz w:val="20"/>
          <w:szCs w:val="20"/>
          <w:u w:color="000000"/>
          <w:rtl w:val="0"/>
          <w:lang w:val="en-US"/>
        </w:rPr>
        <w:t>nd</w:t>
      </w:r>
    </w:p>
    <w:p>
      <w:pPr>
        <w:pStyle w:val="Body A"/>
        <w:tabs>
          <w:tab w:val="left" w:pos="720"/>
          <w:tab w:val="left" w:pos="1440"/>
          <w:tab w:val="left" w:pos="2160"/>
          <w:tab w:val="left" w:pos="2880"/>
          <w:tab w:val="left" w:pos="3600"/>
          <w:tab w:val="left" w:pos="4320"/>
        </w:tabs>
        <w:spacing w:line="312" w:lineRule="auto"/>
        <w:rPr>
          <w:rStyle w:val="None"/>
          <w:sz w:val="20"/>
          <w:szCs w:val="20"/>
          <w:u w:color="000000"/>
        </w:rPr>
      </w:pP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b w:val="1"/>
          <w:bCs w:val="1"/>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Course Description:</w:t>
      </w: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w:t>
        <w:tab/>
      </w: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Algebra of real numbers, integer exponents, polynomial operations, factoring, rational and complex expressions, linear equations, word problems, quadratic equations and graphical and algebraic solutions of simultaneous linear equations. Writing assignments, as appropriate to the discipline, are part of the course.</w:t>
      </w: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pP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b w:val="1"/>
          <w:bCs w:val="1"/>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b w:val="1"/>
          <w:bCs w:val="1"/>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Prerequisites:</w:t>
        <w:tab/>
      </w: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Completion of FS math 3001/3002 with a grade of S, or ALEKS math score of 20+, or Compass Algebra of 15+ AND Pre-Algebra of 29+, or consent of dept.</w:t>
      </w:r>
    </w:p>
    <w:p>
      <w:pPr>
        <w:pStyle w:val="Body"/>
        <w:tabs>
          <w:tab w:val="left" w:pos="720"/>
          <w:tab w:val="left" w:pos="1440"/>
          <w:tab w:val="left" w:pos="2160"/>
          <w:tab w:val="left" w:pos="2880"/>
          <w:tab w:val="left" w:pos="3600"/>
          <w:tab w:val="left" w:pos="4320"/>
        </w:tabs>
        <w:spacing w:line="312" w:lineRule="auto"/>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pP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b w:val="1"/>
          <w:bCs w:val="1"/>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b w:val="1"/>
          <w:bCs w:val="1"/>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Course Objectives</w:t>
      </w:r>
    </w:p>
    <w:p>
      <w:pPr>
        <w:pStyle w:val="Body"/>
        <w:numPr>
          <w:ilvl w:val="0"/>
          <w:numId w:val="2"/>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Understand and make connections between real numbers and expressions.</w:t>
      </w:r>
    </w:p>
    <w:p>
      <w:pPr>
        <w:pStyle w:val="Body"/>
        <w:numPr>
          <w:ilvl w:val="0"/>
          <w:numId w:val="2"/>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Develop the algebraic skills necessary for problem solving.</w:t>
      </w:r>
    </w:p>
    <w:p>
      <w:pPr>
        <w:pStyle w:val="Body"/>
        <w:numPr>
          <w:ilvl w:val="0"/>
          <w:numId w:val="2"/>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Develop the ability to model linear relations, including the use of graphing techniques as tools, for the purpose of solving contextual problems.</w:t>
      </w:r>
    </w:p>
    <w:p>
      <w:pPr>
        <w:pStyle w:val="Body"/>
        <w:numPr>
          <w:ilvl w:val="0"/>
          <w:numId w:val="2"/>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Manipulate and apply literal equations for the purposes of solving contextual problems.</w:t>
      </w:r>
    </w:p>
    <w:p>
      <w:pPr>
        <w:pStyle w:val="Body"/>
        <w:numPr>
          <w:ilvl w:val="0"/>
          <w:numId w:val="2"/>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Writing and communicating the results of problem solving appropriately.</w:t>
      </w: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tab/>
      </w: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b w:val="1"/>
          <w:bCs w:val="1"/>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Student Learning Outcomes</w:t>
      </w: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  </w:t>
      </w: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14:textOutline w14:w="12700" w14:cap="flat">
            <w14:noFill/>
            <w14:miter w14:lim="400000"/>
          </w14:textOutline>
          <w14:textFill>
            <w14:solidFill>
              <w14:srgbClr w14:val="000000"/>
            </w14:solidFill>
          </w14:textFill>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Upon successful completion of the course, students will be able to:</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Simplify expressions containing integer exponents.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Apply scientific notation to contextual (real-world) situations.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Simplify square roots for perfect squares.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Apply order of operations.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Evaluate algebraic expressions.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Perform operations on and simplify polynomial expressions.</w:t>
      </w:r>
    </w:p>
    <w:p>
      <w:pPr>
        <w:pStyle w:val="Body"/>
        <w:numPr>
          <w:ilvl w:val="0"/>
          <w:numId w:val="4"/>
        </w:numPr>
        <w:bidi w:val="0"/>
        <w:spacing w:line="312" w:lineRule="auto"/>
        <w:ind w:right="0"/>
        <w:jc w:val="both"/>
        <w:rPr>
          <w:rFonts w:ascii="Arial" w:hAnsi="Arial"/>
          <w:sz w:val="20"/>
          <w:szCs w:val="20"/>
          <w:rtl w:val="0"/>
          <w:lang w:val="it-IT"/>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it-IT"/>
          <w14:textOutline w14:w="12700" w14:cap="flat">
            <w14:noFill/>
            <w14:miter w14:lim="400000"/>
          </w14:textOutline>
          <w14:textFill>
            <w14:solidFill>
              <w14:srgbClr w14:val="000000"/>
            </w14:solidFill>
          </w14:textFill>
        </w:rPr>
        <w:t>Factor polynomials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Understand the order relations on the set of real numbers and illustrate them on the real number line.</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Translate between verbal expressions and algebraic or numerical expressions.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Identify and represent numerical or algebraic expressions in equivalent forms.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Solve linear equations and inequalities.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 xml:space="preserve">Solve factorable quadratic equations. </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Solve and evaluate literal equations (formulas) of the first degree.</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Solve systems of linear equations in two variables graphically and algebraically.</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Formulate and apply a linear equation or inequality to a contextual (real world) situation.</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Determine the slope of a line.</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Graph linear equations by plotting points and using slope.</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Identify and represent linear relationships in equivalent forms (i.e., graphical, algebraic, tabular, and contextual).</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Apply formulas of area, perimeter and volume to basic 2- and 3-dimensional figures.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Apply the Pythagorean theorem in problem solving.</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Apply the concept of a set and a Venn diagram to problem solving.</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Apply the concept of subset to mathematics problems.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Find the intersection and union of sets.</w:t>
      </w:r>
    </w:p>
    <w:p>
      <w:pPr>
        <w:pStyle w:val="Body"/>
        <w:numPr>
          <w:ilvl w:val="0"/>
          <w:numId w:val="4"/>
        </w:numPr>
        <w:bidi w:val="0"/>
        <w:spacing w:line="312" w:lineRule="auto"/>
        <w:ind w:right="0"/>
        <w:jc w:val="both"/>
        <w:rPr>
          <w:rFonts w:ascii="Arial" w:hAnsi="Arial"/>
          <w:sz w:val="20"/>
          <w:szCs w:val="20"/>
          <w:rtl w:val="0"/>
          <w:lang w:val="en-US"/>
        </w:rPr>
      </w:pPr>
      <w:r>
        <w:rPr>
          <w:rStyle w:val="None"/>
          <w:rFonts w:ascii="Arial" w:hAnsi="Arial"/>
          <w:caps w:val="0"/>
          <w:smallCaps w:val="0"/>
          <w:strike w:val="0"/>
          <w:dstrike w:val="0"/>
          <w:outline w:val="0"/>
          <w:color w:val="000000"/>
          <w:spacing w:val="0"/>
          <w:kern w:val="0"/>
          <w:position w:val="0"/>
          <w:sz w:val="20"/>
          <w:szCs w:val="20"/>
          <w:u w:val="none" w:color="000000"/>
          <w:vertAlign w:val="baseline"/>
          <w:rtl w:val="0"/>
          <w:lang w:val="en-US"/>
          <w14:textOutline w14:w="12700" w14:cap="flat">
            <w14:noFill/>
            <w14:miter w14:lim="400000"/>
          </w14:textOutline>
          <w14:textFill>
            <w14:solidFill>
              <w14:srgbClr w14:val="000000"/>
            </w14:solidFill>
          </w14:textFill>
        </w:rPr>
        <w:t>Use the set theory symbols and concepts of number sets such as the set of  all natural numbers, integers rational numbers, real  numbers, and complex numbers.</w:t>
      </w:r>
    </w:p>
    <w:p>
      <w:pPr>
        <w:pStyle w:val="Body"/>
        <w:tabs>
          <w:tab w:val="left" w:pos="720"/>
          <w:tab w:val="left" w:pos="1440"/>
          <w:tab w:val="left" w:pos="2160"/>
          <w:tab w:val="left" w:pos="2880"/>
          <w:tab w:val="left" w:pos="3600"/>
          <w:tab w:val="left" w:pos="4320"/>
        </w:tabs>
        <w:spacing w:line="312" w:lineRule="auto"/>
        <w:jc w:val="both"/>
        <w:rPr>
          <w:rStyle w:val="None"/>
          <w:rFonts w:ascii="Arial" w:cs="Arial" w:hAnsi="Arial" w:eastAsia="Arial"/>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pPr>
    </w:p>
    <w:p>
      <w:pPr>
        <w:pStyle w:val="Body A"/>
        <w:spacing w:line="312" w:lineRule="auto"/>
        <w:rPr>
          <w:rStyle w:val="None"/>
          <w:sz w:val="20"/>
          <w:szCs w:val="20"/>
          <w:u w:color="000000"/>
        </w:rPr>
      </w:pPr>
      <w:r>
        <w:rPr>
          <w:rStyle w:val="None"/>
          <w:b w:val="1"/>
          <w:bCs w:val="1"/>
          <w:sz w:val="20"/>
          <w:szCs w:val="20"/>
          <w:u w:color="000000"/>
          <w:rtl w:val="0"/>
          <w:lang w:val="en-US"/>
        </w:rPr>
        <w:t>Course Outline</w:t>
      </w:r>
      <w:r>
        <w:rPr>
          <w:rStyle w:val="None"/>
          <w:sz w:val="20"/>
          <w:szCs w:val="20"/>
          <w:u w:color="000000"/>
          <w:rtl w:val="0"/>
          <w:lang w:val="en-US"/>
        </w:rPr>
        <w:t xml:space="preserve">  </w:t>
        <w:br w:type="textWrapping"/>
        <w:tab/>
      </w:r>
      <w:r>
        <w:rPr>
          <w:rStyle w:val="None"/>
          <w:sz w:val="20"/>
          <w:szCs w:val="20"/>
          <w:u w:color="000000"/>
          <w:rtl w:val="0"/>
          <w:lang w:val="en-US"/>
        </w:rPr>
        <w:t>Opti</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onalEnterBe</w:t>
      </w:r>
      <w:r>
        <w:rPr>
          <w:rStyle w:val="None"/>
          <w:sz w:val="20"/>
          <w:szCs w:val="20"/>
          <w:u w:color="000000"/>
          <w:rtl w:val="0"/>
          <w:lang w:val="en-US"/>
        </w:rPr>
        <w:t>gin Please note that the following course outline is a prediction of the course</w:t>
      </w:r>
      <w:r>
        <w:rPr>
          <w:rStyle w:val="None"/>
          <w:sz w:val="20"/>
          <w:szCs w:val="20"/>
          <w:u w:color="000000"/>
          <w:rtl w:val="0"/>
          <w:lang w:val="en-US"/>
        </w:rPr>
        <w:t>’</w:t>
      </w:r>
      <w:r>
        <w:rPr>
          <w:rStyle w:val="None"/>
          <w:sz w:val="20"/>
          <w:szCs w:val="20"/>
          <w:u w:color="000000"/>
          <w:rtl w:val="0"/>
          <w:lang w:val="en-US"/>
        </w:rPr>
        <w:t>s progress. Minor changes are to be expected.  The instructor always has the right to modify the progress of the course. Optio</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nalEnterE</w:t>
      </w:r>
      <w:r>
        <w:rPr>
          <w:rStyle w:val="None"/>
          <w:sz w:val="20"/>
          <w:szCs w:val="20"/>
          <w:u w:color="000000"/>
          <w:rtl w:val="0"/>
          <w:lang w:val="en-US"/>
        </w:rPr>
        <w:t>nd</w:t>
      </w:r>
    </w:p>
    <w:p>
      <w:pPr>
        <w:pStyle w:val="Body A"/>
        <w:spacing w:line="312" w:lineRule="auto"/>
        <w:rPr>
          <w:rStyle w:val="None"/>
          <w:sz w:val="20"/>
          <w:szCs w:val="20"/>
          <w:u w:color="000000"/>
        </w:rPr>
      </w:pPr>
    </w:p>
    <w:p>
      <w:pPr>
        <w:pStyle w:val="Body A"/>
        <w:spacing w:line="312" w:lineRule="auto"/>
        <w:rPr>
          <w:rStyle w:val="None"/>
          <w:sz w:val="20"/>
          <w:szCs w:val="20"/>
          <w:u w:color="000000"/>
        </w:rPr>
      </w:pPr>
      <w:r>
        <w:rPr>
          <w:rStyle w:val="None"/>
          <w:sz w:val="20"/>
          <w:szCs w:val="20"/>
          <w:u w:color="000000"/>
          <w:rtl w:val="0"/>
          <w:lang w:val="en-US"/>
        </w:rPr>
        <w:t>En</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terH</w:t>
      </w:r>
      <w:r>
        <w:rPr>
          <w:rStyle w:val="None"/>
          <w:sz w:val="20"/>
          <w:szCs w:val="20"/>
          <w:u w:color="000000"/>
          <w:rtl w:val="0"/>
          <w:lang w:val="en-US"/>
        </w:rPr>
        <w:t>ereBegin Your Own course Outline Ent</w:t>
      </w:r>
      <w:r>
        <w:rPr>
          <w:rStyle w:val="None"/>
          <w:b w:val="1"/>
          <w:bCs w:val="1"/>
          <w:outline w:val="0"/>
          <w:color w:val="ff40ff"/>
          <w:sz w:val="20"/>
          <w:szCs w:val="20"/>
          <w:u w:color="000000"/>
          <w:rtl w:val="0"/>
          <w:lang w:val="en-US"/>
          <w14:textOutline w14:w="12700" w14:cap="flat">
            <w14:noFill/>
            <w14:miter w14:lim="400000"/>
          </w14:textOutline>
          <w14:textFill>
            <w14:solidFill>
              <w14:srgbClr w14:val="FF40FF"/>
            </w14:solidFill>
          </w14:textFill>
        </w:rPr>
        <w:t>erHere</w:t>
      </w:r>
      <w:r>
        <w:rPr>
          <w:rStyle w:val="None"/>
          <w:sz w:val="20"/>
          <w:szCs w:val="20"/>
          <w:u w:color="000000"/>
          <w:rtl w:val="0"/>
          <w:lang w:val="en-US"/>
        </w:rPr>
        <w:t>End   or</w:t>
      </w:r>
    </w:p>
    <w:p>
      <w:pPr>
        <w:pStyle w:val="Body A"/>
      </w:pPr>
    </w:p>
    <w:tbl>
      <w:tblPr>
        <w:tblW w:w="1080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923"/>
        <w:gridCol w:w="5282"/>
        <w:gridCol w:w="4595"/>
      </w:tblGrid>
      <w:tr>
        <w:tblPrEx>
          <w:shd w:val="clear" w:color="auto" w:fill="ceddeb"/>
        </w:tblPrEx>
        <w:trPr>
          <w:trHeight w:val="302" w:hRule="atLeast"/>
        </w:trPr>
        <w:tc>
          <w:tcPr>
            <w:tcW w:type="dxa" w:w="923"/>
            <w:tcBorders>
              <w:top w:val="nil"/>
              <w:left w:val="nil"/>
              <w:bottom w:val="single" w:color="000000" w:sz="2" w:space="0" w:shadow="0" w:frame="0"/>
              <w:right w:val="single" w:color="000000" w:sz="2" w:space="0" w:shadow="0" w:frame="0"/>
            </w:tcBorders>
            <w:shd w:val="clear" w:color="auto" w:fill="auto"/>
            <w:tcMar>
              <w:top w:type="dxa" w:w="80"/>
              <w:left w:type="dxa" w:w="80"/>
              <w:bottom w:type="dxa" w:w="80"/>
              <w:right w:type="dxa" w:w="80"/>
            </w:tcMar>
            <w:vAlign w:val="center"/>
          </w:tcP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d478"/>
            <w:tcMar>
              <w:top w:type="dxa" w:w="80"/>
              <w:left w:type="dxa" w:w="80"/>
              <w:bottom w:type="dxa" w:w="80"/>
              <w:right w:type="dxa" w:w="80"/>
            </w:tcMar>
            <w:vAlign w:val="center"/>
          </w:tcPr>
          <w:p>
            <w:pPr>
              <w:pStyle w:val="Table Style 2"/>
              <w:jc w:val="center"/>
            </w:pPr>
            <w:r>
              <w:rPr>
                <w:rStyle w:val="None"/>
                <w:b w:val="1"/>
                <w:bCs w:val="1"/>
                <w:sz w:val="18"/>
                <w:szCs w:val="18"/>
                <w:rtl w:val="0"/>
                <w:lang w:val="en-US"/>
              </w:rPr>
              <w:t>Monday</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ffd478"/>
            <w:tcMar>
              <w:top w:type="dxa" w:w="80"/>
              <w:left w:type="dxa" w:w="80"/>
              <w:bottom w:type="dxa" w:w="80"/>
              <w:right w:type="dxa" w:w="80"/>
            </w:tcMar>
            <w:vAlign w:val="center"/>
          </w:tcPr>
          <w:p>
            <w:pPr>
              <w:pStyle w:val="Table Style 2"/>
              <w:jc w:val="center"/>
            </w:pPr>
            <w:r>
              <w:rPr>
                <w:rStyle w:val="None"/>
                <w:b w:val="1"/>
                <w:bCs w:val="1"/>
                <w:sz w:val="18"/>
                <w:szCs w:val="18"/>
                <w:rtl w:val="0"/>
                <w:lang w:val="en-US"/>
              </w:rPr>
              <w:t>Wednesday</w:t>
            </w:r>
          </w:p>
        </w:tc>
      </w:tr>
      <w:tr>
        <w:tblPrEx>
          <w:shd w:val="clear" w:color="auto" w:fill="ceddeb"/>
        </w:tblPrEx>
        <w:trPr>
          <w:trHeight w:val="410"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1</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rPr>
                <w:rStyle w:val="None"/>
              </w:rPr>
            </w:pPr>
            <w:r>
              <w:rPr>
                <w:rStyle w:val="None"/>
                <w:sz w:val="16"/>
                <w:szCs w:val="16"/>
                <w:rtl w:val="0"/>
                <w:lang w:val="en-US"/>
              </w:rPr>
              <w:t xml:space="preserve">Course Overview, The Language of Mathematics (optional), </w:t>
            </w:r>
          </w:p>
          <w:p>
            <w:pPr>
              <w:pStyle w:val="Table Style 2"/>
              <w:bidi w:val="0"/>
              <w:ind w:left="0" w:right="0" w:firstLine="0"/>
              <w:jc w:val="left"/>
              <w:rPr>
                <w:rtl w:val="0"/>
              </w:rPr>
            </w:pPr>
            <w:r>
              <w:rPr>
                <w:rStyle w:val="None"/>
                <w:sz w:val="16"/>
                <w:szCs w:val="16"/>
                <w:rtl w:val="0"/>
                <w:lang w:val="en-US"/>
              </w:rPr>
              <w:t>The Words And and Or</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The Set of All Natural Numbers, Factors of a Number</w:t>
            </w:r>
            <w:r>
              <w:rPr>
                <w:rStyle w:val="None"/>
                <w:sz w:val="16"/>
                <w:szCs w:val="16"/>
              </w:rPr>
              <w:br w:type="textWrapping"/>
            </w:r>
            <w:r>
              <w:rPr>
                <w:rStyle w:val="None"/>
                <w:sz w:val="16"/>
                <w:szCs w:val="16"/>
                <w:rtl w:val="0"/>
                <w:lang w:val="en-US"/>
              </w:rPr>
              <w:t>Order of Operations on Natural Numbers</w:t>
            </w:r>
          </w:p>
        </w:tc>
      </w:tr>
      <w:tr>
        <w:tblPrEx>
          <w:shd w:val="clear" w:color="auto" w:fill="ceddeb"/>
        </w:tblPrEx>
        <w:trPr>
          <w:trHeight w:val="284"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2</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aeaea"/>
            <w:tcMar>
              <w:top w:type="dxa" w:w="80"/>
              <w:left w:type="dxa" w:w="80"/>
              <w:bottom w:type="dxa" w:w="80"/>
              <w:right w:type="dxa" w:w="80"/>
            </w:tcMar>
            <w:vAlign w:val="top"/>
          </w:tcPr>
          <w:p>
            <w:pPr>
              <w:pStyle w:val="Table Style 2"/>
              <w:jc w:val="center"/>
            </w:pPr>
            <w:r>
              <w:rPr>
                <w:rStyle w:val="None"/>
                <w:sz w:val="16"/>
                <w:szCs w:val="16"/>
                <w:rtl w:val="0"/>
                <w:lang w:val="en-US"/>
              </w:rPr>
              <w:t>Holiday, No Class</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Introduction to Set Theory, Division with Remainder</w:t>
            </w:r>
          </w:p>
        </w:tc>
      </w:tr>
      <w:tr>
        <w:tblPrEx>
          <w:shd w:val="clear" w:color="auto" w:fill="ceddeb"/>
        </w:tblPrEx>
        <w:trPr>
          <w:trHeight w:val="410"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3</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 xml:space="preserve">The Set of All Integers, Order of Operations on Integers,  </w:t>
            </w:r>
            <w:r>
              <w:rPr>
                <w:rStyle w:val="None"/>
                <w:sz w:val="16"/>
                <w:szCs w:val="16"/>
              </w:rPr>
              <w:br w:type="textWrapping"/>
            </w:r>
            <w:r>
              <w:rPr>
                <w:rStyle w:val="None"/>
                <w:sz w:val="16"/>
                <w:szCs w:val="16"/>
                <w:rtl w:val="0"/>
                <w:lang w:val="en-US"/>
              </w:rPr>
              <w:t>Set Operations</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Algebraic Expressions and Statements, Perimeter and Area of Rectangles</w:t>
            </w:r>
          </w:p>
        </w:tc>
      </w:tr>
      <w:tr>
        <w:tblPrEx>
          <w:shd w:val="clear" w:color="auto" w:fill="ceddeb"/>
        </w:tblPrEx>
        <w:trPr>
          <w:trHeight w:val="610"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4</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 xml:space="preserve">Fractions  1 (the definition), </w:t>
            </w:r>
            <w:r>
              <w:rPr>
                <w:rStyle w:val="None"/>
                <w:sz w:val="16"/>
                <w:szCs w:val="16"/>
              </w:rPr>
              <w:br w:type="textWrapping"/>
            </w:r>
            <w:r>
              <w:rPr>
                <w:rStyle w:val="None"/>
                <w:sz w:val="16"/>
                <w:szCs w:val="16"/>
                <w:rtl w:val="0"/>
                <w:lang w:val="en-US"/>
              </w:rPr>
              <w:t xml:space="preserve">Linear Equations 1 (One- and Two-Step Equations), </w:t>
            </w:r>
            <w:r>
              <w:rPr>
                <w:rStyle w:val="None"/>
                <w:sz w:val="16"/>
                <w:szCs w:val="16"/>
              </w:rPr>
              <w:br w:type="textWrapping"/>
            </w:r>
            <w:r>
              <w:rPr>
                <w:rStyle w:val="None"/>
                <w:sz w:val="16"/>
                <w:szCs w:val="16"/>
                <w:rtl w:val="0"/>
                <w:lang w:val="en-US"/>
              </w:rPr>
              <w:t>Perimeter and Area of Right Triangles</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jc w:val="center"/>
            </w:pPr>
            <w:r>
              <w:rPr>
                <w:rStyle w:val="None"/>
                <w:b w:val="1"/>
                <w:bCs w:val="1"/>
                <w:sz w:val="16"/>
                <w:szCs w:val="16"/>
                <w:rtl w:val="0"/>
                <w:lang w:val="pt-PT"/>
              </w:rPr>
              <w:t>Exam 1</w:t>
            </w:r>
          </w:p>
        </w:tc>
      </w:tr>
      <w:tr>
        <w:tblPrEx>
          <w:shd w:val="clear" w:color="auto" w:fill="ceddeb"/>
        </w:tblPrEx>
        <w:trPr>
          <w:trHeight w:val="410"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5</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 xml:space="preserve">Fractions 2 </w:t>
            </w:r>
            <w:r>
              <w:rPr>
                <w:rStyle w:val="None"/>
                <w:sz w:val="16"/>
                <w:szCs w:val="16"/>
                <w:rtl w:val="0"/>
                <w:lang w:val="fr-FR"/>
              </w:rPr>
              <w:t xml:space="preserve"> (equivalent fractions)</w:t>
            </w:r>
            <w:r>
              <w:rPr>
                <w:rStyle w:val="None"/>
                <w:sz w:val="16"/>
                <w:szCs w:val="16"/>
                <w:rtl w:val="0"/>
                <w:lang w:val="en-US"/>
              </w:rPr>
              <w:t xml:space="preserve">, </w:t>
            </w:r>
            <w:r>
              <w:rPr>
                <w:rStyle w:val="None"/>
                <w:sz w:val="16"/>
                <w:szCs w:val="16"/>
              </w:rPr>
              <w:br w:type="textWrapping"/>
            </w:r>
            <w:r>
              <w:rPr>
                <w:rStyle w:val="None"/>
                <w:sz w:val="16"/>
                <w:szCs w:val="16"/>
                <w:rtl w:val="0"/>
                <w:lang w:val="en-US"/>
              </w:rPr>
              <w:t>Introduction to Number Theory (prime factorization)</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Fractions 3  (mixed numbers and improper fractions),  Area of Triangles, LCM and GCD</w:t>
            </w:r>
          </w:p>
        </w:tc>
      </w:tr>
      <w:tr>
        <w:tblPrEx>
          <w:shd w:val="clear" w:color="auto" w:fill="ceddeb"/>
        </w:tblPrEx>
        <w:trPr>
          <w:trHeight w:val="410"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6</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eaeaea"/>
            <w:tcMar>
              <w:top w:type="dxa" w:w="80"/>
              <w:left w:type="dxa" w:w="80"/>
              <w:bottom w:type="dxa" w:w="80"/>
              <w:right w:type="dxa" w:w="80"/>
            </w:tcMar>
            <w:vAlign w:val="top"/>
          </w:tcPr>
          <w:p>
            <w:pPr>
              <w:pStyle w:val="Table Style 2"/>
              <w:jc w:val="center"/>
            </w:pPr>
            <w:r>
              <w:rPr>
                <w:rStyle w:val="None"/>
                <w:sz w:val="16"/>
                <w:szCs w:val="16"/>
                <w:rtl w:val="0"/>
                <w:lang w:val="en-US"/>
              </w:rPr>
              <w:t>Holiday, No Class</w:t>
            </w:r>
            <w:r>
              <w:rPr>
                <w:rStyle w:val="None"/>
                <w:sz w:val="16"/>
                <w:szCs w:val="16"/>
              </w:rPr>
              <w:br w:type="textWrapping"/>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 xml:space="preserve">Fractions 4 </w:t>
            </w:r>
            <w:r>
              <w:rPr>
                <w:rStyle w:val="None"/>
                <w:sz w:val="16"/>
                <w:szCs w:val="16"/>
                <w:rtl w:val="0"/>
              </w:rPr>
              <w:t xml:space="preserve"> </w:t>
            </w:r>
            <w:r>
              <w:rPr>
                <w:rStyle w:val="None"/>
                <w:sz w:val="16"/>
                <w:szCs w:val="16"/>
                <w:rtl w:val="0"/>
                <w:lang w:val="en-US"/>
              </w:rPr>
              <w:t>(adding and subtracting),</w:t>
            </w:r>
            <w:r>
              <w:rPr>
                <w:rStyle w:val="None"/>
                <w:sz w:val="16"/>
                <w:szCs w:val="16"/>
              </w:rPr>
              <w:br w:type="textWrapping"/>
            </w:r>
            <w:r>
              <w:rPr>
                <w:rStyle w:val="None"/>
                <w:sz w:val="16"/>
                <w:szCs w:val="16"/>
                <w:rtl w:val="0"/>
                <w:lang w:val="en-US"/>
              </w:rPr>
              <w:t>Simplifying Algebraic Expressions</w:t>
            </w:r>
          </w:p>
        </w:tc>
      </w:tr>
      <w:tr>
        <w:tblPrEx>
          <w:shd w:val="clear" w:color="auto" w:fill="ceddeb"/>
        </w:tblPrEx>
        <w:trPr>
          <w:trHeight w:val="410"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7</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rPr>
                <w:rStyle w:val="None"/>
                <w:sz w:val="16"/>
                <w:szCs w:val="16"/>
              </w:rPr>
            </w:pPr>
            <w:r>
              <w:rPr>
                <w:rStyle w:val="None"/>
                <w:sz w:val="16"/>
                <w:szCs w:val="16"/>
                <w:rtl w:val="0"/>
                <w:lang w:val="en-US"/>
              </w:rPr>
              <w:t xml:space="preserve">Fractions 5 (multiplying and dividing), </w:t>
            </w:r>
          </w:p>
          <w:p>
            <w:pPr>
              <w:pStyle w:val="Table Style 2"/>
              <w:bidi w:val="0"/>
              <w:ind w:left="0" w:right="0" w:firstLine="0"/>
              <w:jc w:val="left"/>
              <w:rPr>
                <w:rtl w:val="0"/>
              </w:rPr>
            </w:pPr>
            <w:r>
              <w:rPr>
                <w:rStyle w:val="None"/>
                <w:sz w:val="16"/>
                <w:szCs w:val="16"/>
                <w:rtl w:val="0"/>
                <w:lang w:val="en-US"/>
              </w:rPr>
              <w:t>Linear Equations - 2 (Unknown on Both Sides)</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Rules of Exponents</w:t>
            </w:r>
          </w:p>
        </w:tc>
      </w:tr>
      <w:tr>
        <w:tblPrEx>
          <w:shd w:val="clear" w:color="auto" w:fill="ceddeb"/>
        </w:tblPrEx>
        <w:trPr>
          <w:trHeight w:val="410"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8</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rPr>
                <w:rStyle w:val="None"/>
              </w:rPr>
            </w:pPr>
            <w:r>
              <w:rPr>
                <w:rStyle w:val="None"/>
                <w:sz w:val="16"/>
                <w:szCs w:val="16"/>
                <w:rtl w:val="0"/>
                <w:lang w:val="en-US"/>
              </w:rPr>
              <w:t>The Rectangular Coordinate System,</w:t>
            </w:r>
          </w:p>
          <w:p>
            <w:pPr>
              <w:pStyle w:val="Table Style 2"/>
              <w:bidi w:val="0"/>
              <w:ind w:left="0" w:right="0" w:firstLine="0"/>
              <w:jc w:val="left"/>
              <w:rPr>
                <w:rtl w:val="0"/>
              </w:rPr>
            </w:pPr>
            <w:r>
              <w:rPr>
                <w:rStyle w:val="None"/>
                <w:sz w:val="16"/>
                <w:szCs w:val="16"/>
                <w:rtl w:val="0"/>
                <w:lang w:val="en-US"/>
              </w:rPr>
              <w:t>Multiplying Algebraic Expressions</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jc w:val="center"/>
            </w:pPr>
            <w:r>
              <w:rPr>
                <w:rStyle w:val="None"/>
                <w:b w:val="1"/>
                <w:bCs w:val="1"/>
                <w:sz w:val="16"/>
                <w:szCs w:val="16"/>
                <w:rtl w:val="0"/>
                <w:lang w:val="pt-PT"/>
              </w:rPr>
              <w:t>Exam 2</w:t>
            </w:r>
          </w:p>
        </w:tc>
      </w:tr>
      <w:tr>
        <w:tblPrEx>
          <w:shd w:val="clear" w:color="auto" w:fill="ceddeb"/>
        </w:tblPrEx>
        <w:trPr>
          <w:trHeight w:val="284"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9</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Intervals, Graph of an Equation, The Zero-Product Rule</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Graphing a Line, Factoring 1 (GCF and -1)</w:t>
            </w:r>
          </w:p>
        </w:tc>
      </w:tr>
      <w:tr>
        <w:tblPrEx>
          <w:shd w:val="clear" w:color="auto" w:fill="ceddeb"/>
        </w:tblPrEx>
        <w:trPr>
          <w:trHeight w:val="284"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10</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Factoring 2 (Diff. of Squares Theorem), Linear Inequalities</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Integer Exponents, Systems of Equations: Elimination</w:t>
            </w:r>
          </w:p>
        </w:tc>
      </w:tr>
      <w:tr>
        <w:tblPrEx>
          <w:shd w:val="clear" w:color="auto" w:fill="ceddeb"/>
        </w:tblPrEx>
        <w:trPr>
          <w:trHeight w:val="284"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11</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Systems of Equations: Substitution, Factoring 3: Trial and Error</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Linear Equations - Part 3, Square Root of an Integer</w:t>
            </w:r>
          </w:p>
        </w:tc>
      </w:tr>
      <w:tr>
        <w:tblPrEx>
          <w:shd w:val="clear" w:color="auto" w:fill="ceddeb"/>
        </w:tblPrEx>
        <w:trPr>
          <w:trHeight w:val="284"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12</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Slope of a Line</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jc w:val="center"/>
            </w:pPr>
            <w:r>
              <w:rPr>
                <w:rStyle w:val="None"/>
                <w:b w:val="1"/>
                <w:bCs w:val="1"/>
                <w:sz w:val="16"/>
                <w:szCs w:val="16"/>
                <w:rtl w:val="0"/>
                <w:lang w:val="en-US"/>
              </w:rPr>
              <w:t>Exam 3</w:t>
            </w:r>
          </w:p>
        </w:tc>
      </w:tr>
      <w:tr>
        <w:tblPrEx>
          <w:shd w:val="clear" w:color="auto" w:fill="ceddeb"/>
        </w:tblPrEx>
        <w:trPr>
          <w:trHeight w:val="284"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13</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Factoring by Grouping, Rational Expressions</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More on Linear Systems,  The Pythagorean Theorem</w:t>
            </w:r>
          </w:p>
        </w:tc>
      </w:tr>
      <w:tr>
        <w:tblPrEx>
          <w:shd w:val="clear" w:color="auto" w:fill="ceddeb"/>
        </w:tblPrEx>
        <w:trPr>
          <w:trHeight w:val="284"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14</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Factoring by the AC Method</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The Sum and Difference of Cubes (optional)</w:t>
            </w:r>
          </w:p>
        </w:tc>
      </w:tr>
      <w:tr>
        <w:tblPrEx>
          <w:shd w:val="clear" w:color="auto" w:fill="ceddeb"/>
        </w:tblPrEx>
        <w:trPr>
          <w:trHeight w:val="410"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15</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Fractions and Decimals</w:t>
            </w:r>
            <w:r>
              <w:rPr>
                <w:rStyle w:val="None"/>
                <w:sz w:val="16"/>
                <w:szCs w:val="16"/>
              </w:rPr>
              <w:br w:type="textWrapping"/>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Square-Root of 2 is Irrational, The Real Number System</w:t>
            </w:r>
          </w:p>
        </w:tc>
      </w:tr>
      <w:tr>
        <w:tblPrEx>
          <w:shd w:val="clear" w:color="auto" w:fill="ceddeb"/>
        </w:tblPrEx>
        <w:trPr>
          <w:trHeight w:val="284" w:hRule="atLeast"/>
        </w:trPr>
        <w:tc>
          <w:tcPr>
            <w:tcW w:type="dxa" w:w="923"/>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nl-NL"/>
              </w:rPr>
              <w:t>week 16</w:t>
            </w:r>
          </w:p>
        </w:tc>
        <w:tc>
          <w:tcPr>
            <w:tcW w:type="dxa" w:w="5282"/>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pPr>
            <w:r>
              <w:rPr>
                <w:rStyle w:val="None"/>
                <w:sz w:val="16"/>
                <w:szCs w:val="16"/>
                <w:rtl w:val="0"/>
                <w:lang w:val="en-US"/>
              </w:rPr>
              <w:t>Final Review</w:t>
            </w:r>
          </w:p>
        </w:tc>
        <w:tc>
          <w:tcPr>
            <w:tcW w:type="dxa" w:w="4595"/>
            <w:tcBorders>
              <w:top w:val="single" w:color="000000" w:sz="2" w:space="0" w:shadow="0" w:frame="0"/>
              <w:left w:val="single" w:color="000000" w:sz="2" w:space="0" w:shadow="0" w:frame="0"/>
              <w:bottom w:val="single" w:color="000000" w:sz="2" w:space="0" w:shadow="0" w:frame="0"/>
              <w:right w:val="single" w:color="000000" w:sz="2" w:space="0" w:shadow="0" w:frame="0"/>
            </w:tcBorders>
            <w:shd w:val="clear" w:color="auto" w:fill="auto"/>
            <w:tcMar>
              <w:top w:type="dxa" w:w="80"/>
              <w:left w:type="dxa" w:w="80"/>
              <w:bottom w:type="dxa" w:w="80"/>
              <w:right w:type="dxa" w:w="80"/>
            </w:tcMar>
            <w:vAlign w:val="top"/>
          </w:tcPr>
          <w:p>
            <w:pPr>
              <w:pStyle w:val="Table Style 2"/>
              <w:jc w:val="center"/>
            </w:pPr>
            <w:r>
              <w:rPr>
                <w:rStyle w:val="None"/>
                <w:b w:val="1"/>
                <w:bCs w:val="1"/>
                <w:sz w:val="16"/>
                <w:szCs w:val="16"/>
                <w:rtl w:val="0"/>
                <w:lang w:val="en-US"/>
              </w:rPr>
              <w:t>Exam 4</w:t>
            </w:r>
          </w:p>
        </w:tc>
      </w:tr>
    </w:tbl>
    <w:p>
      <w:pPr>
        <w:pStyle w:val="Body A"/>
        <w:widowControl w:val="0"/>
        <w:ind w:left="108" w:hanging="108"/>
      </w:pPr>
    </w:p>
    <w:p>
      <w:pPr>
        <w:pStyle w:val="Body A"/>
      </w:pPr>
    </w:p>
    <w:p>
      <w:pPr>
        <w:pStyle w:val="Body A"/>
      </w:pPr>
      <w:r>
        <w:rPr>
          <w:rStyle w:val="None"/>
          <w:sz w:val="18"/>
          <w:szCs w:val="18"/>
        </w:rPr>
        <w:br w:type="textWrapping"/>
      </w:r>
    </w:p>
    <w:p>
      <w:pPr>
        <w:pStyle w:val="Body A"/>
        <w:spacing w:line="312" w:lineRule="auto"/>
        <w:rPr>
          <w:rStyle w:val="None"/>
          <w:sz w:val="20"/>
          <w:szCs w:val="20"/>
        </w:rPr>
      </w:pPr>
      <w:r>
        <w:rPr>
          <w:rStyle w:val="None"/>
          <w:b w:val="1"/>
          <w:bCs w:val="1"/>
          <w:sz w:val="20"/>
          <w:szCs w:val="20"/>
          <w:rtl w:val="0"/>
          <w:lang w:val="en-US"/>
        </w:rPr>
        <w:t>Truman College Mission Statement:</w:t>
      </w:r>
      <w:r>
        <w:rPr>
          <w:rStyle w:val="None"/>
          <w:b w:val="1"/>
          <w:bCs w:val="1"/>
          <w:sz w:val="20"/>
          <w:szCs w:val="20"/>
          <w:rtl w:val="0"/>
          <w:lang w:val="en-US"/>
        </w:rPr>
        <w:t> </w:t>
      </w:r>
      <w:r>
        <w:rPr>
          <w:rStyle w:val="None"/>
          <w:sz w:val="20"/>
          <w:szCs w:val="20"/>
          <w:rtl w:val="0"/>
          <w:lang w:val="en-US"/>
        </w:rPr>
        <w:t> </w:t>
      </w:r>
      <w:r>
        <w:rPr>
          <w:rStyle w:val="None"/>
          <w:sz w:val="20"/>
          <w:szCs w:val="20"/>
          <w:rtl w:val="0"/>
          <w:lang w:val="en-US"/>
        </w:rPr>
        <w:t>Our Mission dedicates us to deliver high-quality, innovative, affordable, and accessible educational opportunities and services that prepare students for a rapidly changing and diverse global economy.</w:t>
      </w:r>
    </w:p>
    <w:p>
      <w:pPr>
        <w:pStyle w:val="Body A"/>
        <w:spacing w:line="312" w:lineRule="auto"/>
        <w:rPr>
          <w:rStyle w:val="None"/>
          <w:sz w:val="20"/>
          <w:szCs w:val="20"/>
        </w:rPr>
      </w:pPr>
    </w:p>
    <w:p>
      <w:pPr>
        <w:pStyle w:val="Body A"/>
        <w:spacing w:line="312" w:lineRule="auto"/>
        <w:rPr>
          <w:rStyle w:val="None"/>
          <w:rFonts w:ascii="Helvetica" w:cs="Helvetica" w:hAnsi="Helvetica" w:eastAsia="Helvetica"/>
          <w:sz w:val="24"/>
          <w:szCs w:val="24"/>
        </w:rPr>
      </w:pPr>
      <w:r>
        <w:rPr>
          <w:rStyle w:val="None"/>
          <w:rFonts w:ascii="Helvetica" w:hAnsi="Helvetica"/>
          <w:b w:val="1"/>
          <w:bCs w:val="1"/>
          <w:sz w:val="20"/>
          <w:szCs w:val="20"/>
          <w:rtl w:val="0"/>
          <w:lang w:val="en-US"/>
        </w:rPr>
        <w:t>Academic Support Services</w:t>
      </w:r>
    </w:p>
    <w:p>
      <w:pPr>
        <w:pStyle w:val="Body A"/>
        <w:spacing w:line="312" w:lineRule="auto"/>
        <w:rPr>
          <w:rStyle w:val="None"/>
          <w:sz w:val="20"/>
          <w:szCs w:val="20"/>
        </w:rPr>
      </w:pPr>
    </w:p>
    <w:p>
      <w:pPr>
        <w:pStyle w:val="Body A"/>
        <w:spacing w:line="312" w:lineRule="auto"/>
        <w:rPr>
          <w:rStyle w:val="None"/>
          <w:sz w:val="20"/>
          <w:szCs w:val="20"/>
        </w:rPr>
      </w:pPr>
      <w:r>
        <w:rPr>
          <w:rStyle w:val="None"/>
          <w:b w:val="1"/>
          <w:bCs w:val="1"/>
          <w:sz w:val="20"/>
          <w:szCs w:val="20"/>
          <w:rtl w:val="0"/>
          <w:lang w:val="en-US"/>
        </w:rPr>
        <w:t xml:space="preserve">Americans with Disabilities Act </w:t>
      </w:r>
      <w:r>
        <w:rPr>
          <w:rStyle w:val="None"/>
          <w:sz w:val="20"/>
          <w:szCs w:val="20"/>
          <w:rtl w:val="0"/>
          <w:lang w:val="en-US"/>
        </w:rPr>
        <w:t>(ADA)</w:t>
      </w:r>
    </w:p>
    <w:p>
      <w:pPr>
        <w:pStyle w:val="Body A"/>
        <w:spacing w:line="312" w:lineRule="auto"/>
        <w:rPr>
          <w:rStyle w:val="None"/>
          <w:sz w:val="20"/>
          <w:szCs w:val="20"/>
        </w:rPr>
      </w:pPr>
      <w:r>
        <w:rPr>
          <w:rStyle w:val="None"/>
          <w:sz w:val="20"/>
          <w:szCs w:val="20"/>
          <w:rtl w:val="0"/>
          <w:lang w:val="en-US"/>
        </w:rPr>
        <w:t>Truman College abides by the Americans with Disability Act and with Section 504 of the Rehabilitation Act of 1973 and will provide reasonable accommodations to students with disabilities covered by these laws. If you have a disability for which you may require accommodations, please contact the Disability Access Center located in Room 1435 or call (312) 553-3050.</w:t>
      </w:r>
    </w:p>
    <w:p>
      <w:pPr>
        <w:pStyle w:val="Body A"/>
        <w:spacing w:line="312" w:lineRule="auto"/>
        <w:rPr>
          <w:rStyle w:val="None"/>
          <w:sz w:val="20"/>
          <w:szCs w:val="20"/>
        </w:rPr>
      </w:pPr>
      <w:r>
        <w:rPr>
          <w:rStyle w:val="None"/>
          <w:sz w:val="20"/>
          <w:szCs w:val="20"/>
          <w:rtl w:val="0"/>
          <w:lang w:val="en-US"/>
        </w:rPr>
        <w:t>http://www.ada.gov/pubs/adastatute08.htm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fr-FR"/>
        </w:rPr>
        <w:t xml:space="preserve">Hours: </w:t>
        <w:tab/>
        <w:t>Monday</w:t>
      </w:r>
      <w:r>
        <w:rPr>
          <w:rStyle w:val="None"/>
          <w:rFonts w:ascii="Helvetica" w:hAnsi="Helvetica" w:hint="default"/>
          <w:sz w:val="20"/>
          <w:szCs w:val="20"/>
          <w:rtl w:val="0"/>
          <w:lang w:val="en-US"/>
        </w:rPr>
        <w:t>–</w:t>
      </w:r>
      <w:r>
        <w:rPr>
          <w:rStyle w:val="None"/>
          <w:rFonts w:ascii="Helvetica" w:hAnsi="Helvetica"/>
          <w:sz w:val="20"/>
          <w:szCs w:val="20"/>
          <w:rtl w:val="0"/>
          <w:lang w:val="en-US"/>
        </w:rPr>
        <w:t>Wednesday:  9am</w:t>
      </w:r>
      <w:r>
        <w:rPr>
          <w:rStyle w:val="None"/>
          <w:rFonts w:ascii="Helvetica" w:hAnsi="Helvetica" w:hint="default"/>
          <w:sz w:val="20"/>
          <w:szCs w:val="20"/>
          <w:rtl w:val="0"/>
          <w:lang w:val="en-US"/>
        </w:rPr>
        <w:t>–</w:t>
      </w:r>
      <w:r>
        <w:rPr>
          <w:rStyle w:val="None"/>
          <w:rFonts w:ascii="Helvetica" w:hAnsi="Helvetica"/>
          <w:sz w:val="20"/>
          <w:szCs w:val="20"/>
          <w:rtl w:val="0"/>
          <w:lang w:val="en-US"/>
        </w:rPr>
        <w:t>5pm ,Thursday: 9am-6pm, Friday: 9am-1pm, Saturday,Sunday: closed</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web site: </w:t>
      </w:r>
      <w:r>
        <w:rPr>
          <w:rStyle w:val="Hyperlink.2"/>
          <w:rFonts w:ascii="Helvetica" w:cs="Helvetica" w:hAnsi="Helvetica" w:eastAsia="Helvetica"/>
          <w:outline w:val="0"/>
          <w:color w:val="0000ff"/>
          <w:sz w:val="20"/>
          <w:szCs w:val="20"/>
          <w:u w:val="single" w:color="0000ff"/>
          <w14:textFill>
            <w14:solidFill>
              <w14:srgbClr w14:val="0000FF"/>
            </w14:solidFill>
          </w14:textFill>
        </w:rPr>
        <w:fldChar w:fldCharType="begin" w:fldLock="0"/>
      </w:r>
      <w:r>
        <w:rPr>
          <w:rStyle w:val="Hyperlink.2"/>
          <w:rFonts w:ascii="Helvetica" w:cs="Helvetica" w:hAnsi="Helvetica" w:eastAsia="Helvetica"/>
          <w:outline w:val="0"/>
          <w:color w:val="0000ff"/>
          <w:sz w:val="20"/>
          <w:szCs w:val="20"/>
          <w:u w:val="single" w:color="0000ff"/>
          <w14:textFill>
            <w14:solidFill>
              <w14:srgbClr w14:val="0000FF"/>
            </w14:solidFill>
          </w14:textFill>
        </w:rPr>
        <w:instrText xml:space="preserve"> HYPERLINK "http://www.ccc.edu/colleges/truman/departments/Pages/Disability-Access-Center.aspx"</w:instrText>
      </w:r>
      <w:r>
        <w:rPr>
          <w:rStyle w:val="Hyperlink.2"/>
          <w:rFonts w:ascii="Helvetica" w:cs="Helvetica" w:hAnsi="Helvetica" w:eastAsia="Helvetica"/>
          <w:outline w:val="0"/>
          <w:color w:val="0000ff"/>
          <w:sz w:val="20"/>
          <w:szCs w:val="20"/>
          <w:u w:val="single" w:color="0000ff"/>
          <w14:textFill>
            <w14:solidFill>
              <w14:srgbClr w14:val="0000FF"/>
            </w14:solidFill>
          </w14:textFill>
        </w:rPr>
        <w:fldChar w:fldCharType="separate" w:fldLock="0"/>
      </w:r>
      <w:r>
        <w:rPr>
          <w:rStyle w:val="Hyperlink.2"/>
          <w:rFonts w:ascii="Helvetica" w:hAnsi="Helvetica"/>
          <w:outline w:val="0"/>
          <w:color w:val="0000ff"/>
          <w:sz w:val="20"/>
          <w:szCs w:val="20"/>
          <w:u w:val="single" w:color="0000ff"/>
          <w:rtl w:val="0"/>
          <w:lang w:val="en-US"/>
          <w14:textFill>
            <w14:solidFill>
              <w14:srgbClr w14:val="0000FF"/>
            </w14:solidFill>
          </w14:textFill>
        </w:rPr>
        <w:t>http://www.ccc.edu/colleges/truman/departments/Pages/Disability-Access-Center.aspx</w:t>
      </w:r>
      <w:r>
        <w:rPr>
          <w:rFonts w:ascii="Arial" w:cs="Arial" w:hAnsi="Arial" w:eastAsia="Arial"/>
          <w:sz w:val="24"/>
          <w:szCs w:val="24"/>
        </w:rPr>
        <w:fldChar w:fldCharType="end" w:fldLock="0"/>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b w:val="1"/>
          <w:bCs w:val="1"/>
          <w:sz w:val="20"/>
          <w:szCs w:val="20"/>
          <w:rtl w:val="0"/>
          <w:lang w:val="en-US"/>
        </w:rPr>
        <w:t>Math Center</w:t>
      </w:r>
      <w:r>
        <w:rPr>
          <w:rStyle w:val="None"/>
          <w:rFonts w:ascii="Helvetica" w:hAnsi="Helvetica" w:hint="default"/>
          <w:b w:val="1"/>
          <w:bCs w:val="1"/>
          <w:sz w:val="20"/>
          <w:szCs w:val="20"/>
          <w:rtl w:val="0"/>
          <w:lang w:val="en-US"/>
        </w:rPr>
        <w:t> </w:t>
      </w:r>
      <w:r>
        <w:rPr>
          <w:rStyle w:val="None"/>
          <w:rFonts w:ascii="Helvetica" w:hAnsi="Helvetica"/>
          <w:b w:val="1"/>
          <w:bCs w:val="1"/>
          <w:sz w:val="20"/>
          <w:szCs w:val="20"/>
          <w:rtl w:val="0"/>
          <w:lang w:val="en-US"/>
        </w:rPr>
        <w:t>&amp; CIS Lab</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Provides an open space to do math homework, emphasizing group study with a roaming staff of tutors (adjunct instructors as well as student/peer tutors). One-on-one appointments are available for certain courses and circumstances. Computers, textbooks and calculators are available on site for student use. </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Drop-in computer lab with tutoring support for CIS classes and coursework. Also offers tutoring on general computer literacy and topics like CCC Email, GradesFirst, BrightSpace, MS Office, and typing. No appointment needed.</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9am-7pm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Friday &amp; Saturday: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1176, Main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w:t>
      </w:r>
      <w:r>
        <w:rPr>
          <w:rStyle w:val="None"/>
          <w:rFonts w:ascii="Helvetica" w:hAnsi="Helvetica" w:hint="default"/>
          <w:sz w:val="20"/>
          <w:szCs w:val="20"/>
          <w:rtl w:val="0"/>
          <w:lang w:val="en-US"/>
        </w:rPr>
        <w:t> </w:t>
      </w:r>
      <w:r>
        <w:rPr>
          <w:rStyle w:val="None"/>
          <w:rFonts w:ascii="Helvetica" w:hAnsi="Helvetica"/>
          <w:sz w:val="20"/>
          <w:szCs w:val="20"/>
          <w:rtl w:val="0"/>
          <w:lang w:val="en-US"/>
        </w:rPr>
        <w:t xml:space="preserve">http://www.ccc.edu/colleges/truman/departments/Pages/Math-Center.aspx </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Contact: 773-907-6832</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Mark Carter,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mcarter85@ccc.edu</w:t>
      </w:r>
    </w:p>
    <w:p>
      <w:pPr>
        <w:pStyle w:val="Body A"/>
        <w:spacing w:line="312" w:lineRule="auto"/>
        <w:rPr>
          <w:rStyle w:val="None"/>
          <w:rFonts w:ascii="Helvetica" w:cs="Helvetica" w:hAnsi="Helvetica" w:eastAsia="Helvetica"/>
          <w:sz w:val="24"/>
          <w:szCs w:val="24"/>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Science Center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Provides an open study space for students to receive group tutoring or one-on-one tutoring for science classes. Tutors are available for both one-on-one appointments or drop-in tutoring. In this space students have access to models, computers, textbooks, whiteboards, and other materials to enhance the learning experience. Students can make appointments on GradesFirst, by phone, or at our front desk.</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9am-7pm</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Friday &amp; Saturday: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177, Larry McKeon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 http://www.ccc.edu/colleges/truman/departments/Pages/Science-Center.aspx</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Contact: 773-907-4355</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Maria Suarez, Science Center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msuarez53@ccc.edu</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Advancement Center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 xml:space="preserve">Offers </w:t>
      </w:r>
      <w:r>
        <w:rPr>
          <w:rStyle w:val="None"/>
          <w:rFonts w:ascii="Helvetica" w:hAnsi="Helvetica"/>
          <w:sz w:val="20"/>
          <w:szCs w:val="20"/>
          <w:rtl w:val="0"/>
          <w:lang w:val="en-US"/>
        </w:rPr>
        <w:t>one</w:t>
      </w:r>
      <w:r>
        <w:rPr>
          <w:rStyle w:val="None"/>
          <w:rFonts w:ascii="Helvetica" w:hAnsi="Helvetica"/>
          <w:sz w:val="20"/>
          <w:szCs w:val="20"/>
          <w:rtl w:val="0"/>
          <w:lang w:val="en-US"/>
        </w:rPr>
        <w:t>-on-</w:t>
      </w:r>
      <w:r>
        <w:rPr>
          <w:rStyle w:val="None"/>
          <w:rFonts w:ascii="Helvetica" w:hAnsi="Helvetica"/>
          <w:sz w:val="20"/>
          <w:szCs w:val="20"/>
          <w:rtl w:val="0"/>
          <w:lang w:val="en-US"/>
        </w:rPr>
        <w:t>one</w:t>
      </w:r>
      <w:r>
        <w:rPr>
          <w:rStyle w:val="None"/>
          <w:rFonts w:ascii="Helvetica" w:hAnsi="Helvetica"/>
          <w:sz w:val="20"/>
          <w:szCs w:val="20"/>
          <w:rtl w:val="0"/>
          <w:lang w:val="en-US"/>
        </w:rPr>
        <w:t xml:space="preserve"> 50-minute appointments for tutoring in Adult Education: ESL (all levels) and GED (Math, Science, and Language Arts). For any other Adult Education tutoring needs, please contact the Advancement Center to inquire about the variety of student workshops, conversation groups, and other services. In addition, the Advancement Center offers preparation for the CCC Read-to-Write and ALEKS Math Placement Exams. Students can make appointments through GradesFirst, at the front desk, or </w:t>
      </w:r>
      <w:r>
        <w:rPr>
          <w:rStyle w:val="None"/>
          <w:rFonts w:ascii="Helvetica" w:hAnsi="Helvetica"/>
          <w:sz w:val="20"/>
          <w:szCs w:val="20"/>
          <w:rtl w:val="0"/>
          <w:lang w:val="en-US"/>
        </w:rPr>
        <w:t>b</w:t>
      </w:r>
      <w:r>
        <w:rPr>
          <w:rStyle w:val="None"/>
          <w:rFonts w:ascii="Helvetica" w:hAnsi="Helvetica"/>
          <w:sz w:val="20"/>
          <w:szCs w:val="20"/>
          <w:rtl w:val="0"/>
          <w:lang w:val="en-US"/>
        </w:rPr>
        <w:t>y phone.  Some walk-in appointments are available on a limited basis.</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Hours:</w:t>
      </w:r>
      <w:r>
        <w:rPr>
          <w:rStyle w:val="None"/>
          <w:rFonts w:ascii="Helvetica" w:hAnsi="Helvetica" w:hint="default"/>
          <w:sz w:val="20"/>
          <w:szCs w:val="20"/>
          <w:rtl w:val="0"/>
          <w:lang w:val="en-US"/>
        </w:rPr>
        <w:t> </w:t>
      </w:r>
      <w:r>
        <w:rPr>
          <w:rStyle w:val="None"/>
          <w:rFonts w:ascii="Helvetica" w:hAnsi="Helvetica"/>
          <w:sz w:val="20"/>
          <w:szCs w:val="20"/>
          <w:rtl w:val="0"/>
          <w:lang w:val="en-US"/>
        </w:rPr>
        <w:t>Monday</w:t>
      </w:r>
      <w:r>
        <w:rPr>
          <w:rStyle w:val="None"/>
          <w:rFonts w:ascii="Helvetica" w:hAnsi="Helvetica" w:hint="default"/>
          <w:sz w:val="20"/>
          <w:szCs w:val="20"/>
          <w:rtl w:val="0"/>
          <w:lang w:val="en-US"/>
        </w:rPr>
        <w:t>–</w:t>
      </w:r>
      <w:r>
        <w:rPr>
          <w:rStyle w:val="None"/>
          <w:rFonts w:ascii="Helvetica" w:hAnsi="Helvetica"/>
          <w:sz w:val="20"/>
          <w:szCs w:val="20"/>
          <w:rtl w:val="0"/>
          <w:lang w:val="en-US"/>
        </w:rPr>
        <w:t>Thursday: 10am-6pm</w:t>
      </w:r>
    </w:p>
    <w:p>
      <w:pPr>
        <w:pStyle w:val="Body A"/>
        <w:spacing w:line="312" w:lineRule="auto"/>
        <w:rPr>
          <w:rStyle w:val="None"/>
          <w:rFonts w:ascii="Helvetica" w:cs="Helvetica" w:hAnsi="Helvetica" w:eastAsia="Helvetica"/>
          <w:sz w:val="20"/>
          <w:szCs w:val="20"/>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Friday: 10am-3pm</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Location: Room 1440, Main Building</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Website: http://www.ccc.edu/colleges/truman/departments/Pages/AdvancementCenter.aspx</w:t>
      </w:r>
      <w:r>
        <w:rPr>
          <w:rStyle w:val="None"/>
          <w:rFonts w:ascii="Helvetica" w:cs="Helvetica" w:hAnsi="Helvetica" w:eastAsia="Helvetica"/>
          <w:sz w:val="20"/>
          <w:szCs w:val="20"/>
        </w:rPr>
        <w:br w:type="textWrapping"/>
      </w:r>
      <w:r>
        <w:rPr>
          <w:rStyle w:val="None"/>
          <w:rFonts w:ascii="Helvetica" w:hAnsi="Helvetica"/>
          <w:sz w:val="20"/>
          <w:szCs w:val="20"/>
          <w:rtl w:val="0"/>
          <w:lang w:val="en-US"/>
        </w:rPr>
        <w:t>Front Desk: 773-907-4785</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Kayley Steuber, Coordinator</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Office: 773-907-4044</w:t>
      </w:r>
    </w:p>
    <w:p>
      <w:pPr>
        <w:pStyle w:val="Body A"/>
        <w:spacing w:line="312" w:lineRule="auto"/>
        <w:rPr>
          <w:rStyle w:val="None"/>
          <w:rFonts w:ascii="Helvetica" w:cs="Helvetica" w:hAnsi="Helvetica" w:eastAsia="Helvetica"/>
          <w:sz w:val="20"/>
          <w:szCs w:val="20"/>
        </w:rPr>
      </w:pPr>
      <w:r>
        <w:rPr>
          <w:rStyle w:val="None"/>
          <w:rFonts w:ascii="Helvetica" w:hAnsi="Helvetica"/>
          <w:sz w:val="20"/>
          <w:szCs w:val="20"/>
          <w:rtl w:val="0"/>
          <w:lang w:val="en-US"/>
        </w:rPr>
        <w:t>ksteuber@ccc.edu</w:t>
      </w:r>
    </w:p>
    <w:p>
      <w:pPr>
        <w:pStyle w:val="Body A"/>
        <w:spacing w:line="312" w:lineRule="auto"/>
        <w:rPr>
          <w:rStyle w:val="None"/>
          <w:rFonts w:ascii="Helvetica" w:cs="Helvetica" w:hAnsi="Helvetica" w:eastAsia="Helvetica"/>
          <w:sz w:val="20"/>
          <w:szCs w:val="20"/>
        </w:rPr>
      </w:pPr>
      <w:r>
        <w:rPr>
          <w:rStyle w:val="None"/>
          <w:rFonts w:ascii="Helvetica" w:cs="Helvetica" w:hAnsi="Helvetica" w:eastAsia="Helvetica"/>
          <w:sz w:val="20"/>
          <w:szCs w:val="20"/>
        </w:rPr>
        <w:br w:type="textWrapping"/>
      </w: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Reading Center</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The Reading Center assists students with reading, including comprehension, vocabulary, literary and rhetorical analysis, and research. Offers an open space with computers to study with tutoring support, and 50-minute-long 1-on-1 appointments. Students can make appointments through GradesFirst, at our front desk, by phone, or by walking-in.</w:t>
      </w:r>
      <w:r>
        <w:rPr>
          <w:rStyle w:val="None"/>
          <w:rFonts w:ascii="Helvetica" w:hAnsi="Helvetica" w:hint="default"/>
          <w:sz w:val="20"/>
          <w:szCs w:val="20"/>
          <w:rtl w:val="0"/>
          <w:lang w:val="en-US"/>
        </w:rPr>
        <w:t xml:space="preserve">  </w:t>
      </w:r>
    </w:p>
    <w:p>
      <w:pPr>
        <w:pStyle w:val="Body A"/>
        <w:spacing w:line="312" w:lineRule="auto"/>
        <w:rPr>
          <w:rStyle w:val="None"/>
          <w:rFonts w:ascii="Helvetica" w:cs="Helvetica" w:hAnsi="Helvetica" w:eastAsia="Helvetica"/>
          <w:sz w:val="20"/>
          <w:szCs w:val="20"/>
          <w:lang w:val="en-US"/>
        </w:rPr>
      </w:pP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Hours: Monday</w:t>
      </w:r>
      <w:r>
        <w:rPr>
          <w:rStyle w:val="None"/>
          <w:rFonts w:ascii="Helvetica" w:hAnsi="Helvetica" w:hint="default"/>
          <w:sz w:val="20"/>
          <w:szCs w:val="20"/>
          <w:rtl w:val="0"/>
          <w:lang w:val="en-US"/>
        </w:rPr>
        <w:t>–</w:t>
      </w:r>
      <w:r>
        <w:rPr>
          <w:rStyle w:val="None"/>
          <w:rFonts w:ascii="Helvetica" w:hAnsi="Helvetica"/>
          <w:sz w:val="20"/>
          <w:szCs w:val="20"/>
          <w:rtl w:val="0"/>
          <w:lang w:val="en-US"/>
        </w:rPr>
        <w:t xml:space="preserve">Thursday: 9am-7pm </w:t>
      </w:r>
    </w:p>
    <w:p>
      <w:pPr>
        <w:pStyle w:val="Body A"/>
        <w:spacing w:line="312" w:lineRule="auto"/>
        <w:rPr>
          <w:rStyle w:val="None"/>
          <w:rFonts w:ascii="Helvetica" w:cs="Helvetica" w:hAnsi="Helvetica" w:eastAsia="Helvetica"/>
          <w:sz w:val="20"/>
          <w:szCs w:val="20"/>
          <w:lang w:val="en-US"/>
        </w:rPr>
      </w:pPr>
      <w:r>
        <w:rPr>
          <w:rStyle w:val="None"/>
          <w:rFonts w:ascii="Helvetica" w:hAnsi="Helvetica" w:hint="default"/>
          <w:sz w:val="20"/>
          <w:szCs w:val="20"/>
          <w:rtl w:val="0"/>
          <w:lang w:val="en-US"/>
        </w:rPr>
        <w:t xml:space="preserve">            </w:t>
      </w:r>
      <w:r>
        <w:rPr>
          <w:rStyle w:val="None"/>
          <w:rFonts w:ascii="Helvetica" w:hAnsi="Helvetica"/>
          <w:sz w:val="20"/>
          <w:szCs w:val="20"/>
          <w:rtl w:val="0"/>
          <w:lang w:val="en-US"/>
        </w:rPr>
        <w:t xml:space="preserve">Friday &amp; Saturday: 10am-3pm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Location: Room 1220B, Main Building</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Website:</w:t>
      </w:r>
      <w:r>
        <w:rPr>
          <w:rStyle w:val="None"/>
          <w:rFonts w:ascii="Helvetica" w:hAnsi="Helvetica" w:hint="default"/>
          <w:sz w:val="20"/>
          <w:szCs w:val="20"/>
          <w:rtl w:val="0"/>
          <w:lang w:val="en-US"/>
        </w:rPr>
        <w:t> </w:t>
      </w:r>
      <w:r>
        <w:rPr>
          <w:rStyle w:val="None"/>
          <w:rFonts w:ascii="Helvetica" w:hAnsi="Helvetica"/>
          <w:sz w:val="20"/>
          <w:szCs w:val="20"/>
          <w:rtl w:val="0"/>
          <w:lang w:val="en-US"/>
        </w:rPr>
        <w:t xml:space="preserve">http://www.ccc.edu/colleges/truman/departments/Pages/Reading-Center.aspx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 xml:space="preserve">Contact: 773-907-6827 </w:t>
      </w:r>
      <w:r>
        <w:rPr>
          <w:rStyle w:val="None"/>
          <w:rFonts w:ascii="Helvetica" w:hAnsi="Helvetica" w:hint="default"/>
          <w:sz w:val="20"/>
          <w:szCs w:val="20"/>
          <w:rtl w:val="0"/>
          <w:lang w:val="en-US"/>
        </w:rPr>
        <w:t> </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Jess Mahoney, Coordinator</w:t>
      </w:r>
    </w:p>
    <w:p>
      <w:pPr>
        <w:pStyle w:val="Body A"/>
        <w:spacing w:line="312" w:lineRule="auto"/>
        <w:rPr>
          <w:rStyle w:val="None"/>
          <w:rFonts w:ascii="Helvetica" w:cs="Helvetica" w:hAnsi="Helvetica" w:eastAsia="Helvetica"/>
          <w:sz w:val="20"/>
          <w:szCs w:val="20"/>
          <w:lang w:val="en-US"/>
        </w:rPr>
      </w:pPr>
      <w:r>
        <w:rPr>
          <w:rStyle w:val="None"/>
          <w:rFonts w:ascii="Helvetica" w:hAnsi="Helvetica"/>
          <w:sz w:val="20"/>
          <w:szCs w:val="20"/>
          <w:rtl w:val="0"/>
          <w:lang w:val="en-US"/>
        </w:rPr>
        <w:t>jmahoney6@ccc.edu</w:t>
      </w: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sz w:val="20"/>
          <w:szCs w:val="20"/>
        </w:rPr>
      </w:pPr>
    </w:p>
    <w:p>
      <w:pPr>
        <w:pStyle w:val="Body A"/>
        <w:spacing w:line="312" w:lineRule="auto"/>
        <w:rPr>
          <w:rStyle w:val="None"/>
          <w:rFonts w:ascii="Helvetica" w:cs="Helvetica" w:hAnsi="Helvetica" w:eastAsia="Helvetica"/>
          <w:b w:val="1"/>
          <w:bCs w:val="1"/>
          <w:sz w:val="20"/>
          <w:szCs w:val="20"/>
        </w:rPr>
      </w:pPr>
      <w:r>
        <w:rPr>
          <w:rStyle w:val="None"/>
          <w:rFonts w:ascii="Helvetica" w:hAnsi="Helvetica"/>
          <w:b w:val="1"/>
          <w:bCs w:val="1"/>
          <w:sz w:val="20"/>
          <w:szCs w:val="20"/>
          <w:rtl w:val="0"/>
          <w:lang w:val="en-US"/>
        </w:rPr>
        <w:t>Writing Center</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We help with any writing assignment for any credit class (primarily English) as well as with resumes, cover letters, and personal statements. We offer 50-minute-long </w:t>
      </w:r>
      <w:r>
        <w:rPr>
          <w:rStyle w:val="None"/>
          <w:rFonts w:ascii="Helvetica" w:hAnsi="Helvetica"/>
          <w:sz w:val="20"/>
          <w:szCs w:val="20"/>
          <w:rtl w:val="0"/>
          <w:lang w:val="nl-NL"/>
        </w:rPr>
        <w:t>one</w:t>
      </w:r>
      <w:r>
        <w:rPr>
          <w:rStyle w:val="None"/>
          <w:rFonts w:ascii="Helvetica" w:hAnsi="Helvetica"/>
          <w:sz w:val="20"/>
          <w:szCs w:val="20"/>
          <w:rtl w:val="0"/>
          <w:lang w:val="nl-NL"/>
        </w:rPr>
        <w:t>-on-</w:t>
      </w:r>
      <w:r>
        <w:rPr>
          <w:rStyle w:val="None"/>
          <w:rFonts w:ascii="Helvetica" w:hAnsi="Helvetica"/>
          <w:sz w:val="20"/>
          <w:szCs w:val="20"/>
          <w:rtl w:val="0"/>
          <w:lang w:val="nl-NL"/>
        </w:rPr>
        <w:t>one</w:t>
      </w:r>
      <w:r>
        <w:rPr>
          <w:rStyle w:val="None"/>
          <w:rFonts w:ascii="Helvetica" w:hAnsi="Helvetica"/>
          <w:sz w:val="20"/>
          <w:szCs w:val="20"/>
          <w:rtl w:val="0"/>
          <w:lang w:val="nl-NL"/>
        </w:rPr>
        <w:t xml:space="preserve"> appointments and can help with topics such as thesis statements, essay planning, and a variety of grammar issues.</w:t>
      </w:r>
      <w:r>
        <w:rPr>
          <w:rStyle w:val="None"/>
          <w:rFonts w:ascii="Helvetica" w:hAnsi="Helvetica" w:hint="default"/>
          <w:sz w:val="20"/>
          <w:szCs w:val="20"/>
          <w:rtl w:val="0"/>
          <w:lang w:val="nl-NL"/>
        </w:rPr>
        <w:t> </w:t>
      </w:r>
      <w:r>
        <w:rPr>
          <w:rStyle w:val="None"/>
          <w:rFonts w:ascii="Helvetica" w:hAnsi="Helvetica"/>
          <w:sz w:val="20"/>
          <w:szCs w:val="20"/>
          <w:rtl w:val="0"/>
          <w:lang w:val="nl-NL"/>
        </w:rPr>
        <w:t>Students can make appointments on GradesFirst, by phone, or at our front desk. We also offer drop-in tutoring for quick questions</w:t>
      </w:r>
      <w:r>
        <w:rPr>
          <w:rStyle w:val="None"/>
          <w:rFonts w:ascii="Helvetica" w:hAnsi="Helvetica" w:hint="default"/>
          <w:sz w:val="20"/>
          <w:szCs w:val="20"/>
          <w:rtl w:val="0"/>
          <w:lang w:val="nl-NL"/>
        </w:rPr>
        <w:t>—</w:t>
      </w:r>
      <w:r>
        <w:rPr>
          <w:rStyle w:val="None"/>
          <w:rFonts w:ascii="Helvetica" w:hAnsi="Helvetica"/>
          <w:sz w:val="20"/>
          <w:szCs w:val="20"/>
          <w:rtl w:val="0"/>
          <w:lang w:val="nl-NL"/>
        </w:rPr>
        <w:t>no appointment needed!</w:t>
      </w:r>
    </w:p>
    <w:p>
      <w:pPr>
        <w:pStyle w:val="Body A"/>
        <w:spacing w:line="312" w:lineRule="auto"/>
        <w:rPr>
          <w:rStyle w:val="None"/>
          <w:rFonts w:ascii="Helvetica" w:cs="Helvetica" w:hAnsi="Helvetica" w:eastAsia="Helvetica"/>
          <w:sz w:val="20"/>
          <w:szCs w:val="20"/>
          <w:lang w:val="nl-NL"/>
        </w:rPr>
      </w:pPr>
      <w:r>
        <w:rPr>
          <w:rStyle w:val="None"/>
          <w:rFonts w:ascii="Helvetica" w:hAnsi="Helvetica" w:hint="default"/>
          <w:sz w:val="20"/>
          <w:szCs w:val="20"/>
          <w:rtl w:val="0"/>
          <w:lang w:val="nl-NL"/>
        </w:rPr>
        <w:t xml:space="preserve">  </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Hours: Monday </w:t>
      </w:r>
      <w:r>
        <w:rPr>
          <w:rStyle w:val="None"/>
          <w:rFonts w:ascii="Helvetica" w:hAnsi="Helvetica" w:hint="default"/>
          <w:sz w:val="20"/>
          <w:szCs w:val="20"/>
          <w:rtl w:val="0"/>
          <w:lang w:val="nl-NL"/>
        </w:rPr>
        <w:t xml:space="preserve">– </w:t>
      </w:r>
      <w:r>
        <w:rPr>
          <w:rStyle w:val="None"/>
          <w:rFonts w:ascii="Helvetica" w:hAnsi="Helvetica"/>
          <w:sz w:val="20"/>
          <w:szCs w:val="20"/>
          <w:rtl w:val="0"/>
          <w:lang w:val="nl-NL"/>
        </w:rPr>
        <w:t xml:space="preserve">Thursday: 9am-7pm </w:t>
      </w:r>
    </w:p>
    <w:p>
      <w:pPr>
        <w:pStyle w:val="Body A"/>
        <w:spacing w:line="312" w:lineRule="auto"/>
        <w:rPr>
          <w:rStyle w:val="None"/>
          <w:rFonts w:ascii="Helvetica" w:cs="Helvetica" w:hAnsi="Helvetica" w:eastAsia="Helvetica"/>
          <w:sz w:val="20"/>
          <w:szCs w:val="20"/>
          <w:lang w:val="nl-NL"/>
        </w:rPr>
      </w:pPr>
      <w:r>
        <w:rPr>
          <w:rStyle w:val="None"/>
          <w:rFonts w:ascii="Helvetica" w:hAnsi="Helvetica" w:hint="default"/>
          <w:sz w:val="20"/>
          <w:szCs w:val="20"/>
          <w:rtl w:val="0"/>
          <w:lang w:val="nl-NL"/>
        </w:rPr>
        <w:t xml:space="preserve">            </w:t>
      </w:r>
      <w:r>
        <w:rPr>
          <w:rStyle w:val="None"/>
          <w:rFonts w:ascii="Helvetica" w:hAnsi="Helvetica"/>
          <w:sz w:val="20"/>
          <w:szCs w:val="20"/>
          <w:rtl w:val="0"/>
          <w:lang w:val="nl-NL"/>
        </w:rPr>
        <w:t xml:space="preserve">Friday &amp; Saturday: 10am-3pm </w:t>
      </w:r>
    </w:p>
    <w:p>
      <w:pPr>
        <w:pStyle w:val="Body A"/>
        <w:spacing w:line="312" w:lineRule="auto"/>
        <w:rPr>
          <w:rStyle w:val="None"/>
          <w:rFonts w:ascii="Helvetica" w:cs="Helvetica" w:hAnsi="Helvetica" w:eastAsia="Helvetica"/>
          <w:sz w:val="20"/>
          <w:szCs w:val="20"/>
          <w:lang w:val="nl-NL"/>
        </w:rPr>
      </w:pPr>
      <w:r>
        <w:rPr>
          <w:rStyle w:val="None"/>
          <w:rFonts w:ascii="Helvetica" w:hAnsi="Helvetica"/>
          <w:sz w:val="20"/>
          <w:szCs w:val="20"/>
          <w:rtl w:val="0"/>
          <w:lang w:val="nl-NL"/>
        </w:rPr>
        <w:t xml:space="preserve">Location: Room 1435, Main Building </w:t>
      </w:r>
    </w:p>
    <w:p>
      <w:pPr>
        <w:pStyle w:val="Body A"/>
        <w:spacing w:line="312" w:lineRule="auto"/>
        <w:rPr>
          <w:rStyle w:val="None"/>
          <w:rFonts w:ascii="Helvetica" w:cs="Helvetica" w:hAnsi="Helvetica" w:eastAsia="Helvetica"/>
          <w:sz w:val="24"/>
          <w:szCs w:val="24"/>
        </w:rPr>
      </w:pPr>
      <w:r>
        <w:rPr>
          <w:rStyle w:val="None"/>
          <w:rFonts w:ascii="Helvetica" w:hAnsi="Helvetica"/>
          <w:sz w:val="20"/>
          <w:szCs w:val="20"/>
          <w:rtl w:val="0"/>
          <w:lang w:val="nl-NL"/>
        </w:rPr>
        <w:t>Website:</w:t>
      </w:r>
      <w:r>
        <w:rPr>
          <w:rStyle w:val="None"/>
          <w:rFonts w:ascii="Helvetica" w:hAnsi="Helvetica" w:hint="default"/>
          <w:sz w:val="20"/>
          <w:szCs w:val="20"/>
          <w:rtl w:val="0"/>
          <w:lang w:val="nl-NL"/>
        </w:rPr>
        <w:t> </w:t>
      </w:r>
      <w:r>
        <w:rPr>
          <w:rStyle w:val="None"/>
          <w:rFonts w:ascii="Helvetica" w:hAnsi="Helvetica"/>
          <w:sz w:val="20"/>
          <w:szCs w:val="20"/>
          <w:rtl w:val="0"/>
          <w:lang w:val="nl-NL"/>
        </w:rPr>
        <w:t xml:space="preserve">http://www.ccc.edu/colleges/truman/departments/Pages/Writing-Center.aspx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 xml:space="preserve">Contact: 773-907-4387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 xml:space="preserve">Toby Bengelsdorf, Writing Center Coordinator </w:t>
      </w:r>
      <w:r>
        <w:rPr>
          <w:rStyle w:val="None"/>
          <w:rFonts w:ascii="Helvetica" w:cs="Helvetica" w:hAnsi="Helvetica" w:eastAsia="Helvetica"/>
          <w:sz w:val="20"/>
          <w:szCs w:val="20"/>
          <w:lang w:val="nl-NL"/>
        </w:rPr>
        <w:br w:type="textWrapping"/>
      </w:r>
      <w:r>
        <w:rPr>
          <w:rStyle w:val="None"/>
          <w:rFonts w:ascii="Helvetica" w:hAnsi="Helvetica"/>
          <w:sz w:val="20"/>
          <w:szCs w:val="20"/>
          <w:rtl w:val="0"/>
          <w:lang w:val="nl-NL"/>
        </w:rPr>
        <w:t>tbengelsdorf@ccc.edu</w:t>
      </w:r>
      <w:r>
        <w:rPr>
          <w:rStyle w:val="None"/>
          <w:rFonts w:ascii="Helvetica" w:hAnsi="Helvetica" w:hint="default"/>
          <w:sz w:val="20"/>
          <w:szCs w:val="20"/>
          <w:rtl w:val="0"/>
          <w:lang w:val="nl-NL"/>
        </w:rPr>
        <w:t>       </w:t>
      </w:r>
    </w:p>
    <w:p>
      <w:pPr>
        <w:pStyle w:val="Body A"/>
        <w:spacing w:line="312" w:lineRule="auto"/>
        <w:rPr>
          <w:rStyle w:val="None"/>
          <w:sz w:val="20"/>
          <w:szCs w:val="20"/>
        </w:rPr>
      </w:pPr>
    </w:p>
    <w:p>
      <w:pPr>
        <w:pStyle w:val="Body A"/>
        <w:spacing w:line="312" w:lineRule="auto"/>
        <w:rPr>
          <w:rStyle w:val="None"/>
          <w:b w:val="1"/>
          <w:bCs w:val="1"/>
          <w:sz w:val="20"/>
          <w:szCs w:val="20"/>
        </w:rPr>
      </w:pPr>
      <w:r>
        <w:rPr>
          <w:b w:val="1"/>
          <w:bCs w:val="1"/>
          <w:sz w:val="20"/>
          <w:szCs w:val="20"/>
          <w:rtl w:val="0"/>
          <w:lang w:val="en-US"/>
        </w:rPr>
        <w:t>TRiO Student Support Services</w:t>
      </w:r>
    </w:p>
    <w:p>
      <w:pPr>
        <w:pStyle w:val="Body A"/>
        <w:spacing w:line="312" w:lineRule="auto"/>
        <w:rPr>
          <w:rStyle w:val="None"/>
          <w:sz w:val="20"/>
          <w:szCs w:val="20"/>
        </w:rPr>
      </w:pPr>
      <w:r>
        <w:rPr>
          <w:rStyle w:val="None"/>
          <w:sz w:val="20"/>
          <w:szCs w:val="20"/>
          <w:rtl w:val="0"/>
          <w:lang w:val="en-US"/>
        </w:rPr>
        <w:t>For low-income students, first generation college students, or students with disabilities who need academic support. Main Building Room 1435, (773) 907-4797. Registration is required at the start of each semester.</w:t>
      </w:r>
    </w:p>
    <w:p>
      <w:pPr>
        <w:pStyle w:val="Body A"/>
        <w:spacing w:line="312" w:lineRule="auto"/>
        <w:rPr>
          <w:rStyle w:val="None"/>
          <w:sz w:val="20"/>
          <w:szCs w:val="20"/>
        </w:rPr>
      </w:pPr>
      <w:r>
        <w:rPr>
          <w:rStyle w:val="None"/>
          <w:sz w:val="20"/>
          <w:szCs w:val="20"/>
          <w:rtl w:val="0"/>
          <w:lang w:val="en-US"/>
        </w:rPr>
        <w:t> </w:t>
      </w:r>
    </w:p>
    <w:p>
      <w:pPr>
        <w:pStyle w:val="Body A"/>
        <w:spacing w:line="312" w:lineRule="auto"/>
        <w:rPr>
          <w:rStyle w:val="None"/>
          <w:sz w:val="20"/>
          <w:szCs w:val="20"/>
        </w:rPr>
      </w:pPr>
      <w:r>
        <w:rPr>
          <w:rStyle w:val="None"/>
          <w:sz w:val="20"/>
          <w:szCs w:val="20"/>
          <w:rtl w:val="0"/>
          <w:lang w:val="en-US"/>
        </w:rPr>
        <w:t> </w:t>
      </w:r>
    </w:p>
    <w:p>
      <w:pPr>
        <w:pStyle w:val="Body A"/>
        <w:spacing w:line="312" w:lineRule="auto"/>
        <w:rPr>
          <w:rStyle w:val="None"/>
          <w:b w:val="1"/>
          <w:bCs w:val="1"/>
          <w:sz w:val="20"/>
          <w:szCs w:val="20"/>
        </w:rPr>
      </w:pPr>
      <w:r>
        <w:rPr>
          <w:b w:val="1"/>
          <w:bCs w:val="1"/>
          <w:sz w:val="20"/>
          <w:szCs w:val="20"/>
          <w:rtl w:val="0"/>
          <w:lang w:val="en-US"/>
        </w:rPr>
        <w:t>The Wellness Center</w:t>
      </w:r>
    </w:p>
    <w:p>
      <w:pPr>
        <w:pStyle w:val="Body A"/>
        <w:spacing w:line="312" w:lineRule="auto"/>
        <w:rPr>
          <w:rStyle w:val="None"/>
          <w:sz w:val="20"/>
          <w:szCs w:val="20"/>
        </w:rPr>
      </w:pPr>
      <w:r>
        <w:rPr>
          <w:rStyle w:val="None"/>
          <w:sz w:val="20"/>
          <w:szCs w:val="20"/>
          <w:rtl w:val="0"/>
          <w:lang w:val="en-US"/>
        </w:rPr>
        <w:t>Located in room 1946 in the Main Building.</w:t>
      </w:r>
      <w:r>
        <w:rPr>
          <w:rStyle w:val="None"/>
          <w:sz w:val="20"/>
          <w:szCs w:val="20"/>
          <w:rtl w:val="0"/>
          <w:lang w:val="en-US"/>
        </w:rPr>
        <w:t xml:space="preserve">   </w:t>
      </w:r>
      <w:r>
        <w:rPr>
          <w:rStyle w:val="None"/>
          <w:sz w:val="20"/>
          <w:szCs w:val="20"/>
          <w:rtl w:val="0"/>
          <w:lang w:val="en-US"/>
        </w:rPr>
        <w:t xml:space="preserve">Current hours: </w:t>
      </w:r>
      <w:r>
        <w:rPr>
          <w:rStyle w:val="None"/>
          <w:sz w:val="20"/>
          <w:szCs w:val="20"/>
          <w:rtl w:val="0"/>
          <w:lang w:val="en-US"/>
        </w:rPr>
        <w:t> </w:t>
      </w:r>
      <w:r>
        <w:rPr>
          <w:rStyle w:val="None"/>
          <w:sz w:val="20"/>
          <w:szCs w:val="20"/>
          <w:rtl w:val="0"/>
          <w:lang w:val="en-US"/>
        </w:rPr>
        <w:t>Monday-Thursday 9am-5pm, Friday 9am-12pm, and later appointments available until 7 pm at least 2 evenings each week.</w:t>
      </w:r>
      <w:r>
        <w:rPr>
          <w:rStyle w:val="None"/>
          <w:sz w:val="20"/>
          <w:szCs w:val="20"/>
          <w:rtl w:val="0"/>
          <w:lang w:val="en-US"/>
        </w:rPr>
        <w:t xml:space="preserve">  </w:t>
      </w:r>
      <w:r>
        <w:rPr>
          <w:rStyle w:val="None"/>
          <w:sz w:val="20"/>
          <w:szCs w:val="20"/>
          <w:rtl w:val="0"/>
          <w:lang w:val="en-US"/>
        </w:rPr>
        <w:t>Contact: (773) 907-4786 for an appointment or information.</w:t>
      </w:r>
      <w:r>
        <w:rPr>
          <w:rStyle w:val="None"/>
          <w:sz w:val="20"/>
          <w:szCs w:val="20"/>
          <w:rtl w:val="0"/>
          <w:lang w:val="en-US"/>
        </w:rPr>
        <w:t xml:space="preserve">  </w:t>
      </w:r>
      <w:r>
        <w:rPr>
          <w:rStyle w:val="None"/>
          <w:sz w:val="20"/>
          <w:szCs w:val="20"/>
          <w:rtl w:val="0"/>
          <w:lang w:val="en-US"/>
        </w:rPr>
        <w:t>Services include:</w:t>
      </w:r>
      <w:r>
        <w:rPr>
          <w:rStyle w:val="None"/>
          <w:sz w:val="20"/>
          <w:szCs w:val="20"/>
          <w:rtl w:val="0"/>
          <w:lang w:val="en-US"/>
        </w:rPr>
        <w:t xml:space="preserve">  </w:t>
      </w:r>
      <w:r>
        <w:rPr>
          <w:rStyle w:val="None"/>
          <w:sz w:val="20"/>
          <w:szCs w:val="20"/>
          <w:rtl w:val="0"/>
          <w:lang w:val="en-US"/>
        </w:rPr>
        <w:t>Personal, individual counseling, support groups, stress and time management coaching, referrals to community resources, special support for victims of relationship violence and sexual assault</w:t>
      </w:r>
      <w:r>
        <w:rPr>
          <w:rStyle w:val="None"/>
          <w:sz w:val="20"/>
          <w:szCs w:val="20"/>
          <w:rtl w:val="0"/>
          <w:lang w:val="en-US"/>
        </w:rPr>
        <w:t> </w:t>
      </w:r>
      <w:r>
        <w:rPr>
          <w:rStyle w:val="None"/>
          <w:sz w:val="20"/>
          <w:szCs w:val="20"/>
          <w:rtl w:val="0"/>
          <w:lang w:val="en-US"/>
        </w:rPr>
        <w:t>includes one-on-one counseling; safety planning; and referrals to medical care, legal services, and emergency child care.</w:t>
      </w:r>
    </w:p>
    <w:p>
      <w:pPr>
        <w:pStyle w:val="Body A"/>
        <w:spacing w:line="312" w:lineRule="auto"/>
        <w:rPr>
          <w:rStyle w:val="None"/>
          <w:sz w:val="20"/>
          <w:szCs w:val="20"/>
        </w:rPr>
      </w:pPr>
      <w:r>
        <w:rPr>
          <w:rStyle w:val="None"/>
          <w:sz w:val="20"/>
          <w:szCs w:val="20"/>
          <w:rtl w:val="0"/>
          <w:lang w:val="en-US"/>
        </w:rPr>
        <w:t> </w:t>
      </w:r>
    </w:p>
    <w:p>
      <w:pPr>
        <w:pStyle w:val="Body A"/>
        <w:spacing w:line="312" w:lineRule="auto"/>
      </w:pPr>
      <w:r>
        <w:rPr>
          <w:rStyle w:val="None"/>
          <w:sz w:val="20"/>
          <w:szCs w:val="20"/>
        </w:rPr>
      </w:r>
    </w:p>
    <w:sectPr>
      <w:headerReference w:type="default" r:id="rId4"/>
      <w:footerReference w:type="default" r:id="rId5"/>
      <w:pgSz w:w="12240" w:h="15840" w:orient="portrait"/>
      <w:pgMar w:top="720" w:right="720" w:bottom="720" w:left="72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1440"/>
          <w:tab w:val="left" w:pos="2160"/>
          <w:tab w:val="left" w:pos="2880"/>
          <w:tab w:val="left" w:pos="3600"/>
          <w:tab w:val="left" w:pos="43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2160"/>
          <w:tab w:val="left" w:pos="2880"/>
          <w:tab w:val="left" w:pos="3600"/>
          <w:tab w:val="left" w:pos="43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440"/>
          <w:tab w:val="left" w:pos="2880"/>
          <w:tab w:val="left" w:pos="3600"/>
          <w:tab w:val="left" w:pos="4320"/>
        </w:tabs>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 w:val="left" w:pos="2160"/>
          <w:tab w:val="left" w:pos="3600"/>
          <w:tab w:val="left" w:pos="43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 w:val="left" w:pos="2160"/>
          <w:tab w:val="left" w:pos="2880"/>
          <w:tab w:val="left" w:pos="43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 w:val="left" w:pos="2160"/>
          <w:tab w:val="left" w:pos="2880"/>
          <w:tab w:val="left" w:pos="3600"/>
        </w:tabs>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 w:val="left" w:pos="2160"/>
          <w:tab w:val="left" w:pos="2880"/>
          <w:tab w:val="left" w:pos="3600"/>
          <w:tab w:val="left" w:pos="43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 w:val="left" w:pos="2160"/>
          <w:tab w:val="left" w:pos="2880"/>
          <w:tab w:val="left" w:pos="3600"/>
          <w:tab w:val="left" w:pos="43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 w:val="left" w:pos="2160"/>
          <w:tab w:val="left" w:pos="2880"/>
          <w:tab w:val="left" w:pos="3600"/>
          <w:tab w:val="left" w:pos="4320"/>
        </w:tabs>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tabs>
          <w:tab w:val="left" w:pos="1440"/>
          <w:tab w:val="left" w:pos="2160"/>
          <w:tab w:val="left" w:pos="2880"/>
          <w:tab w:val="left" w:pos="3600"/>
          <w:tab w:val="left" w:pos="432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2160"/>
          <w:tab w:val="left" w:pos="2880"/>
          <w:tab w:val="left" w:pos="3600"/>
          <w:tab w:val="left" w:pos="43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1440"/>
          <w:tab w:val="left" w:pos="2880"/>
          <w:tab w:val="left" w:pos="3600"/>
          <w:tab w:val="left" w:pos="4320"/>
        </w:tabs>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1440"/>
          <w:tab w:val="left" w:pos="2160"/>
          <w:tab w:val="left" w:pos="3600"/>
          <w:tab w:val="left" w:pos="43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1440"/>
          <w:tab w:val="left" w:pos="2160"/>
          <w:tab w:val="left" w:pos="2880"/>
          <w:tab w:val="left" w:pos="43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1440"/>
          <w:tab w:val="left" w:pos="2160"/>
          <w:tab w:val="left" w:pos="2880"/>
          <w:tab w:val="left" w:pos="3600"/>
        </w:tabs>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1440"/>
          <w:tab w:val="left" w:pos="2160"/>
          <w:tab w:val="left" w:pos="2880"/>
          <w:tab w:val="left" w:pos="3600"/>
          <w:tab w:val="left" w:pos="43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1440"/>
          <w:tab w:val="left" w:pos="2160"/>
          <w:tab w:val="left" w:pos="2880"/>
          <w:tab w:val="left" w:pos="3600"/>
          <w:tab w:val="left" w:pos="43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1440"/>
          <w:tab w:val="left" w:pos="2160"/>
          <w:tab w:val="left" w:pos="2880"/>
          <w:tab w:val="left" w:pos="3600"/>
          <w:tab w:val="left" w:pos="4320"/>
        </w:tabs>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00000"/>
      <w:sz w:val="20"/>
      <w:szCs w:val="20"/>
      <w:u w:val="none" w:color="0000ff"/>
      <w14:textFill>
        <w14:solidFill>
          <w14:srgbClr w14:val="000000"/>
        </w14:solidFill>
      </w14:textFill>
    </w:rPr>
  </w:style>
  <w:style w:type="character" w:styleId="Hyperlink.1">
    <w:name w:val="Hyperlink.1"/>
    <w:basedOn w:val="None"/>
    <w:next w:val="Hyperlink.1"/>
    <w:rPr>
      <w:outline w:val="0"/>
      <w:color w:val="0000ff"/>
      <w:sz w:val="20"/>
      <w:szCs w:val="20"/>
      <w:u w:val="single" w:color="0000ff"/>
      <w14:textFill>
        <w14:solidFill>
          <w14:srgbClr w14:val="0000FF"/>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14:textOutline w14:w="12700" w14:cap="flat">
        <w14:noFill/>
        <w14:miter w14:lim="400000"/>
      </w14:textOutline>
      <w14:textFill>
        <w14:solidFill>
          <w14:srgbClr w14:val="000000"/>
        </w14:solidFill>
      </w14:textFill>
    </w:rPr>
  </w:style>
  <w:style w:type="character" w:styleId="Hyperlink.2">
    <w:name w:val="Hyperlink.2"/>
    <w:basedOn w:val="None"/>
    <w:next w:val="Hyperlink.2"/>
    <w:rPr>
      <w:outline w:val="0"/>
      <w:color w:val="0000ff"/>
      <w:sz w:val="20"/>
      <w:szCs w:val="20"/>
      <w:u w:val="single" w:color="0000ff"/>
      <w14:textFill>
        <w14:solidFill>
          <w14:srgbClr w14:val="0000F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